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25bis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03019</w:t>
      </w:r>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Changsha,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15 - 19 April</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NW-sided model</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objectives for Rel-19 AI/ML for </w:t>
      </w:r>
      <w:r>
        <w:rPr>
          <w:rFonts w:hint="eastAsia" w:ascii="Arial" w:hAnsi="Arial" w:cs="Arial"/>
          <w:sz w:val="20"/>
          <w:szCs w:val="20"/>
          <w:lang w:val="en-US" w:eastAsia="zh-CN"/>
        </w:rPr>
        <w:t>NR Air interface</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6"/>
              </w:numPr>
              <w:spacing w:after="0"/>
              <w:rPr>
                <w:rFonts w:hint="default" w:ascii="Arial" w:hAnsi="Arial" w:cs="Arial"/>
                <w:bCs/>
                <w:sz w:val="20"/>
                <w:szCs w:val="21"/>
              </w:rPr>
            </w:pPr>
            <w:r>
              <w:rPr>
                <w:rFonts w:hint="default" w:ascii="Arial" w:hAnsi="Arial" w:cs="Arial"/>
                <w:bCs/>
                <w:sz w:val="20"/>
                <w:szCs w:val="21"/>
              </w:rPr>
              <w:t>AI/ML general framework for one-sided AI/ML models within the realm of what has been studied in the FS_NR_AIML_Air project [RAN2]:</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and protocol aspects of Life Cycle Management (LCM) enabling functionality and model (if justified) selection, activation, deactivation, switching, fallback</w:t>
            </w:r>
          </w:p>
          <w:p>
            <w:pPr>
              <w:numPr>
                <w:ilvl w:val="2"/>
                <w:numId w:val="6"/>
              </w:numPr>
              <w:spacing w:after="0"/>
              <w:rPr>
                <w:rFonts w:hint="default" w:ascii="Arial" w:hAnsi="Arial" w:cs="Arial"/>
                <w:bCs/>
                <w:sz w:val="20"/>
                <w:szCs w:val="21"/>
              </w:rPr>
            </w:pPr>
            <w:r>
              <w:rPr>
                <w:rFonts w:hint="default" w:ascii="Arial" w:hAnsi="Arial" w:cs="Arial"/>
                <w:bCs/>
                <w:sz w:val="20"/>
                <w:szCs w:val="21"/>
              </w:rPr>
              <w:t xml:space="preserve">Identification related signalling is part of the above objective </w:t>
            </w:r>
          </w:p>
          <w:p>
            <w:pPr>
              <w:numPr>
                <w:ilvl w:val="1"/>
                <w:numId w:val="6"/>
              </w:numPr>
              <w:spacing w:after="0"/>
              <w:rPr>
                <w:rFonts w:hint="default" w:ascii="Arial" w:hAnsi="Arial" w:cs="Arial"/>
                <w:bCs/>
                <w:sz w:val="20"/>
                <w:szCs w:val="21"/>
              </w:rPr>
            </w:pPr>
            <w:r>
              <w:rPr>
                <w:rFonts w:hint="default" w:ascii="Arial" w:hAnsi="Arial" w:cs="Arial"/>
                <w:bCs/>
                <w:sz w:val="20"/>
                <w:szCs w:val="21"/>
              </w:rPr>
              <w:t>Necessary signalling/mechanism(s) for LCM to facilitate model training, inference, performance monitoring, data collection (except for the purpose of CN/OAM/OTT collection of UE-sided model training data) for both UE-sided and NW-sided models</w:t>
            </w:r>
          </w:p>
          <w:p>
            <w:pPr>
              <w:numPr>
                <w:ilvl w:val="1"/>
                <w:numId w:val="6"/>
              </w:numPr>
              <w:spacing w:after="0"/>
              <w:rPr>
                <w:rFonts w:hint="default" w:ascii="Arial" w:hAnsi="Arial" w:cs="Arial"/>
                <w:bCs/>
                <w:sz w:val="20"/>
                <w:szCs w:val="21"/>
              </w:rPr>
            </w:pPr>
            <w:r>
              <w:rPr>
                <w:rFonts w:hint="default" w:ascii="Arial" w:hAnsi="Arial" w:cs="Arial"/>
                <w:bCs/>
                <w:sz w:val="20"/>
                <w:szCs w:val="21"/>
              </w:rPr>
              <w:t>Signalling mechanism of applicable functionalities/models</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 xml:space="preserve">Beam management - DL Tx beam prediction for both UE-sided model and </w:t>
            </w:r>
            <w:r>
              <w:rPr>
                <w:rFonts w:hint="default" w:ascii="Arial" w:hAnsi="Arial" w:cs="Arial"/>
                <w:bCs/>
                <w:sz w:val="20"/>
                <w:szCs w:val="21"/>
                <w:highlight w:val="yellow"/>
              </w:rPr>
              <w:t>NW-sided model</w:t>
            </w:r>
            <w:r>
              <w:rPr>
                <w:rFonts w:hint="default" w:ascii="Arial" w:hAnsi="Arial" w:cs="Arial"/>
                <w:bCs/>
                <w:sz w:val="20"/>
                <w:szCs w:val="21"/>
              </w:rPr>
              <w:t>, encompassing [RAN1/RAN2]:</w:t>
            </w:r>
          </w:p>
          <w:p>
            <w:pPr>
              <w:numPr>
                <w:ilvl w:val="1"/>
                <w:numId w:val="6"/>
              </w:numPr>
              <w:spacing w:after="0"/>
              <w:rPr>
                <w:rFonts w:hint="default" w:ascii="Arial" w:hAnsi="Arial" w:cs="Arial"/>
                <w:bCs/>
                <w:sz w:val="20"/>
                <w:szCs w:val="21"/>
                <w:highlight w:val="yellow"/>
              </w:rPr>
            </w:pPr>
            <w:r>
              <w:rPr>
                <w:rFonts w:hint="default" w:ascii="Arial" w:hAnsi="Arial" w:cs="Arial"/>
                <w:bCs/>
                <w:sz w:val="20"/>
                <w:szCs w:val="21"/>
                <w:highlight w:val="yellow"/>
              </w:rPr>
              <w:t>Spatial-domain DL Tx beam prediction for Set A of beams based on measurement results of Set B of beams (“BM-Case1”)</w:t>
            </w:r>
          </w:p>
          <w:p>
            <w:pPr>
              <w:numPr>
                <w:ilvl w:val="1"/>
                <w:numId w:val="6"/>
              </w:numPr>
              <w:spacing w:after="0"/>
              <w:rPr>
                <w:rFonts w:hint="default" w:ascii="Arial" w:hAnsi="Arial" w:cs="Arial"/>
                <w:bCs/>
                <w:sz w:val="20"/>
                <w:szCs w:val="21"/>
                <w:highlight w:val="yellow"/>
              </w:rPr>
            </w:pPr>
            <w:r>
              <w:rPr>
                <w:rFonts w:hint="default" w:ascii="Arial" w:hAnsi="Arial" w:cs="Arial"/>
                <w:bCs/>
                <w:sz w:val="20"/>
                <w:szCs w:val="21"/>
                <w:highlight w:val="yellow"/>
              </w:rPr>
              <w:t>Temporal DL Tx beam prediction for Set A of beams based on the historic measurement results of Set B of beams (“BM-Case2”)</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signalling/mechanism(s) to facilitate LCM operations specific to the Beam Management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Enabling method(s) to ensure consistency between training and inference regarding NW-side additional conditions (if identified) for inference at UE </w:t>
            </w:r>
          </w:p>
          <w:p>
            <w:pPr>
              <w:spacing w:after="0"/>
              <w:ind w:left="360" w:firstLine="720"/>
              <w:rPr>
                <w:rFonts w:hint="default" w:ascii="Arial" w:hAnsi="Arial" w:cs="Arial"/>
                <w:bCs/>
                <w:sz w:val="20"/>
                <w:szCs w:val="21"/>
              </w:rPr>
            </w:pPr>
            <w:r>
              <w:rPr>
                <w:rFonts w:hint="default" w:ascii="Arial" w:hAnsi="Arial" w:cs="Arial"/>
                <w:bCs/>
                <w:sz w:val="20"/>
                <w:szCs w:val="21"/>
              </w:rPr>
              <w:t>NOTE: Strive for common framework design to support both BM-Case1 and BM-Case2</w:t>
            </w:r>
          </w:p>
          <w:p>
            <w:pPr>
              <w:spacing w:after="0"/>
              <w:ind w:left="720"/>
              <w:rPr>
                <w:rFonts w:hint="default" w:ascii="Arial" w:hAnsi="Arial" w:cs="Arial"/>
                <w:bCs/>
                <w:sz w:val="20"/>
                <w:szCs w:val="21"/>
              </w:rPr>
            </w:pPr>
          </w:p>
          <w:p>
            <w:pPr>
              <w:numPr>
                <w:ilvl w:val="0"/>
                <w:numId w:val="6"/>
              </w:numPr>
              <w:spacing w:after="0"/>
              <w:rPr>
                <w:rFonts w:hint="default" w:ascii="Arial" w:hAnsi="Arial" w:cs="Arial"/>
                <w:bCs/>
                <w:sz w:val="20"/>
                <w:szCs w:val="21"/>
              </w:rPr>
            </w:pPr>
            <w:r>
              <w:rPr>
                <w:rFonts w:hint="default" w:ascii="Arial" w:hAnsi="Arial" w:cs="Arial"/>
                <w:bCs/>
                <w:sz w:val="20"/>
                <w:szCs w:val="21"/>
              </w:rPr>
              <w:t>Positioning accuracy enhancements, encompassing [RAN1/RAN2/RAN3]:</w:t>
            </w:r>
          </w:p>
          <w:p>
            <w:pPr>
              <w:numPr>
                <w:ilvl w:val="1"/>
                <w:numId w:val="6"/>
              </w:numPr>
              <w:spacing w:after="0"/>
              <w:rPr>
                <w:rFonts w:hint="default" w:ascii="Arial" w:hAnsi="Arial" w:cs="Arial"/>
                <w:bCs/>
                <w:sz w:val="20"/>
                <w:szCs w:val="21"/>
              </w:rPr>
            </w:pPr>
            <w:r>
              <w:rPr>
                <w:rFonts w:hint="default" w:ascii="Arial" w:hAnsi="Arial" w:cs="Arial"/>
                <w:bCs/>
                <w:sz w:val="20"/>
                <w:szCs w:val="21"/>
              </w:rPr>
              <w:t>Direct AI/ML positioning:</w:t>
            </w:r>
          </w:p>
          <w:p>
            <w:pPr>
              <w:numPr>
                <w:ilvl w:val="2"/>
                <w:numId w:val="6"/>
              </w:numPr>
              <w:spacing w:after="0"/>
              <w:rPr>
                <w:rFonts w:hint="default" w:ascii="Arial" w:hAnsi="Arial" w:cs="Arial"/>
                <w:bCs/>
                <w:sz w:val="20"/>
                <w:szCs w:val="21"/>
                <w:highlight w:val="none"/>
              </w:rPr>
            </w:pPr>
            <w:r>
              <w:rPr>
                <w:rFonts w:hint="default" w:ascii="Arial" w:hAnsi="Arial" w:cs="Arial"/>
                <w:bCs/>
                <w:sz w:val="20"/>
                <w:szCs w:val="21"/>
                <w:highlight w:val="none"/>
              </w:rPr>
              <w:t>(1</w:t>
            </w:r>
            <w:r>
              <w:rPr>
                <w:rFonts w:hint="default" w:ascii="Arial" w:hAnsi="Arial" w:cs="Arial"/>
                <w:bCs/>
                <w:sz w:val="20"/>
                <w:szCs w:val="21"/>
                <w:highlight w:val="none"/>
                <w:vertAlign w:val="superscript"/>
              </w:rPr>
              <w:t>st</w:t>
            </w:r>
            <w:r>
              <w:rPr>
                <w:rFonts w:hint="default" w:ascii="Arial" w:hAnsi="Arial" w:cs="Arial"/>
                <w:bCs/>
                <w:sz w:val="20"/>
                <w:szCs w:val="21"/>
                <w:highlight w:val="none"/>
              </w:rPr>
              <w:t xml:space="preserve"> priority) Case 1: </w:t>
            </w:r>
            <w:r>
              <w:rPr>
                <w:rFonts w:hint="default" w:ascii="Arial" w:hAnsi="Arial" w:cs="Arial"/>
                <w:sz w:val="20"/>
                <w:szCs w:val="21"/>
                <w:highlight w:val="none"/>
              </w:rPr>
              <w:t>UE-based positioning with UE-side model, direct AI/ML positioning</w:t>
            </w:r>
          </w:p>
          <w:p>
            <w:pPr>
              <w:numPr>
                <w:ilvl w:val="2"/>
                <w:numId w:val="6"/>
              </w:numPr>
              <w:spacing w:after="0"/>
              <w:rPr>
                <w:rFonts w:hint="default" w:ascii="Arial" w:hAnsi="Arial" w:cs="Arial"/>
                <w:bCs/>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2b: </w:t>
            </w:r>
            <w:r>
              <w:rPr>
                <w:rFonts w:hint="default" w:ascii="Arial" w:hAnsi="Arial" w:cs="Arial"/>
                <w:sz w:val="20"/>
                <w:szCs w:val="21"/>
              </w:rPr>
              <w:t>UE-assisted/LMF-based positioning with LMF-side model, direct AI/ML positioning</w:t>
            </w:r>
          </w:p>
          <w:p>
            <w:pPr>
              <w:numPr>
                <w:ilvl w:val="2"/>
                <w:numId w:val="6"/>
              </w:numPr>
              <w:spacing w:after="0"/>
              <w:rPr>
                <w:rFonts w:hint="default" w:ascii="Arial" w:hAnsi="Arial" w:cs="Arial"/>
                <w:bCs/>
                <w:sz w:val="20"/>
                <w:szCs w:val="21"/>
                <w:highlight w:val="yellow"/>
              </w:rPr>
            </w:pPr>
            <w:r>
              <w:rPr>
                <w:rFonts w:hint="default" w:ascii="Arial" w:hAnsi="Arial" w:cs="Arial"/>
                <w:bCs/>
                <w:sz w:val="20"/>
                <w:szCs w:val="21"/>
                <w:highlight w:val="yellow"/>
              </w:rPr>
              <w:t>(1</w:t>
            </w:r>
            <w:r>
              <w:rPr>
                <w:rFonts w:hint="default" w:ascii="Arial" w:hAnsi="Arial" w:cs="Arial"/>
                <w:bCs/>
                <w:sz w:val="20"/>
                <w:szCs w:val="21"/>
                <w:highlight w:val="yellow"/>
                <w:vertAlign w:val="superscript"/>
              </w:rPr>
              <w:t>st</w:t>
            </w:r>
            <w:r>
              <w:rPr>
                <w:rFonts w:hint="default" w:ascii="Arial" w:hAnsi="Arial" w:cs="Arial"/>
                <w:bCs/>
                <w:sz w:val="20"/>
                <w:szCs w:val="21"/>
                <w:highlight w:val="yellow"/>
              </w:rPr>
              <w:t xml:space="preserve"> priority) Case 3b:</w:t>
            </w:r>
            <w:r>
              <w:rPr>
                <w:rFonts w:hint="default" w:ascii="Arial" w:hAnsi="Arial" w:cs="Arial"/>
                <w:sz w:val="20"/>
                <w:szCs w:val="21"/>
                <w:highlight w:val="yellow"/>
              </w:rPr>
              <w:t xml:space="preserve"> NG-RAN node assisted positioning with LMF-side model, direct AI/ML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 xml:space="preserve">AI/ML assisted positioning </w:t>
            </w:r>
            <w:r>
              <w:rPr>
                <w:rFonts w:hint="default" w:ascii="Arial" w:hAnsi="Arial" w:cs="Arial"/>
                <w:bCs/>
                <w:sz w:val="20"/>
                <w:szCs w:val="21"/>
              </w:rPr>
              <w:tab/>
            </w:r>
            <w:r>
              <w:rPr>
                <w:rFonts w:hint="default" w:ascii="Arial" w:hAnsi="Arial" w:cs="Arial"/>
                <w:bCs/>
                <w:sz w:val="20"/>
                <w:szCs w:val="21"/>
              </w:rPr>
              <w:tab/>
            </w:r>
            <w:r>
              <w:rPr>
                <w:rFonts w:hint="default" w:ascii="Arial" w:hAnsi="Arial" w:cs="Arial"/>
                <w:bCs/>
                <w:sz w:val="20"/>
                <w:szCs w:val="21"/>
              </w:rPr>
              <w:t xml:space="preserve"> </w:t>
            </w:r>
          </w:p>
          <w:p>
            <w:pPr>
              <w:numPr>
                <w:ilvl w:val="2"/>
                <w:numId w:val="6"/>
              </w:numPr>
              <w:spacing w:after="0"/>
              <w:rPr>
                <w:rFonts w:hint="default" w:ascii="Arial" w:hAnsi="Arial" w:cs="Arial"/>
                <w:bCs/>
                <w:color w:val="BFBFBF"/>
                <w:sz w:val="20"/>
                <w:szCs w:val="21"/>
              </w:rPr>
            </w:pPr>
            <w:r>
              <w:rPr>
                <w:rFonts w:hint="default" w:ascii="Arial" w:hAnsi="Arial" w:cs="Arial"/>
                <w:bCs/>
                <w:sz w:val="20"/>
                <w:szCs w:val="21"/>
              </w:rPr>
              <w:t>(2</w:t>
            </w:r>
            <w:r>
              <w:rPr>
                <w:rFonts w:hint="default" w:ascii="Arial" w:hAnsi="Arial" w:cs="Arial"/>
                <w:bCs/>
                <w:sz w:val="20"/>
                <w:szCs w:val="21"/>
                <w:vertAlign w:val="superscript"/>
              </w:rPr>
              <w:t>nd</w:t>
            </w:r>
            <w:r>
              <w:rPr>
                <w:rFonts w:hint="default" w:ascii="Arial" w:hAnsi="Arial" w:cs="Arial"/>
                <w:bCs/>
                <w:sz w:val="20"/>
                <w:szCs w:val="21"/>
              </w:rPr>
              <w:t xml:space="preserve"> priority) Case 2a: </w:t>
            </w:r>
            <w:r>
              <w:rPr>
                <w:rFonts w:hint="default" w:ascii="Arial" w:hAnsi="Arial" w:cs="Arial"/>
                <w:sz w:val="20"/>
                <w:szCs w:val="21"/>
              </w:rPr>
              <w:t>UE-assisted/LMF-based positioning with UE-side model, AI/ML assisted positioning</w:t>
            </w:r>
            <w:r>
              <w:rPr>
                <w:rFonts w:hint="default" w:ascii="Arial" w:hAnsi="Arial" w:cs="Arial"/>
                <w:bCs/>
                <w:color w:val="BFBFBF"/>
                <w:sz w:val="20"/>
                <w:szCs w:val="21"/>
              </w:rPr>
              <w:tab/>
            </w:r>
          </w:p>
          <w:p>
            <w:pPr>
              <w:numPr>
                <w:ilvl w:val="2"/>
                <w:numId w:val="6"/>
              </w:numPr>
              <w:spacing w:after="0"/>
              <w:rPr>
                <w:rFonts w:hint="default" w:ascii="Arial" w:hAnsi="Arial" w:cs="Arial"/>
                <w:bCs/>
                <w:sz w:val="20"/>
                <w:szCs w:val="21"/>
                <w:highlight w:val="yellow"/>
              </w:rPr>
            </w:pPr>
            <w:r>
              <w:rPr>
                <w:rFonts w:hint="default" w:ascii="Arial" w:hAnsi="Arial" w:cs="Arial"/>
                <w:bCs/>
                <w:sz w:val="20"/>
                <w:szCs w:val="21"/>
                <w:highlight w:val="yellow"/>
              </w:rPr>
              <w:t>(1</w:t>
            </w:r>
            <w:r>
              <w:rPr>
                <w:rFonts w:hint="default" w:ascii="Arial" w:hAnsi="Arial" w:cs="Arial"/>
                <w:bCs/>
                <w:sz w:val="20"/>
                <w:szCs w:val="21"/>
                <w:highlight w:val="yellow"/>
                <w:vertAlign w:val="superscript"/>
              </w:rPr>
              <w:t>st</w:t>
            </w:r>
            <w:r>
              <w:rPr>
                <w:rFonts w:hint="default" w:ascii="Arial" w:hAnsi="Arial" w:cs="Arial"/>
                <w:bCs/>
                <w:sz w:val="20"/>
                <w:szCs w:val="21"/>
                <w:highlight w:val="yellow"/>
              </w:rPr>
              <w:t xml:space="preserve"> priority) Case 3a: </w:t>
            </w:r>
            <w:r>
              <w:rPr>
                <w:rFonts w:hint="default" w:ascii="Arial" w:hAnsi="Arial" w:cs="Arial"/>
                <w:sz w:val="20"/>
                <w:szCs w:val="21"/>
                <w:highlight w:val="yellow"/>
              </w:rPr>
              <w:t>NG-RAN node assisted positioning with gNB-side model, AI/ML assisted positioning</w:t>
            </w:r>
          </w:p>
          <w:p>
            <w:pPr>
              <w:numPr>
                <w:ilvl w:val="1"/>
                <w:numId w:val="6"/>
              </w:numPr>
              <w:spacing w:after="0"/>
              <w:rPr>
                <w:rFonts w:hint="default" w:ascii="Arial" w:hAnsi="Arial" w:cs="Arial"/>
                <w:bCs/>
                <w:sz w:val="20"/>
                <w:szCs w:val="21"/>
              </w:rPr>
            </w:pPr>
            <w:r>
              <w:rPr>
                <w:rFonts w:hint="default" w:ascii="Arial" w:hAnsi="Arial" w:cs="Arial"/>
                <w:bCs/>
                <w:sz w:val="20"/>
                <w:szCs w:val="21"/>
              </w:rPr>
              <w:t>Specify necessary measurements, signalling/mechanism(s) to facilitate LCM operations specific to the Positioning accuracy enhancements use cases, if any</w:t>
            </w:r>
          </w:p>
          <w:p>
            <w:pPr>
              <w:numPr>
                <w:ilvl w:val="1"/>
                <w:numId w:val="6"/>
              </w:numPr>
              <w:spacing w:after="0"/>
              <w:rPr>
                <w:rFonts w:hint="default" w:ascii="Arial" w:hAnsi="Arial" w:cs="Arial"/>
                <w:bCs/>
                <w:sz w:val="20"/>
                <w:szCs w:val="21"/>
              </w:rPr>
            </w:pPr>
            <w:r>
              <w:rPr>
                <w:rFonts w:hint="default" w:ascii="Arial" w:hAnsi="Arial" w:cs="Arial"/>
                <w:bCs/>
                <w:sz w:val="20"/>
                <w:szCs w:val="21"/>
              </w:rPr>
              <w:t>Investigate and specify the necessary signalling of necessary measurement enhancements (if any)</w:t>
            </w:r>
          </w:p>
          <w:p>
            <w:pPr>
              <w:numPr>
                <w:ilvl w:val="1"/>
                <w:numId w:val="6"/>
              </w:numPr>
              <w:spacing w:after="0"/>
              <w:rPr>
                <w:rFonts w:hint="default" w:ascii="Arial" w:hAnsi="Arial" w:eastAsia="宋体" w:cs="Arial"/>
                <w:kern w:val="0"/>
                <w:sz w:val="20"/>
                <w:szCs w:val="20"/>
                <w:lang w:val="en-GB" w:eastAsia="en-GB"/>
              </w:rPr>
            </w:pPr>
            <w:r>
              <w:rPr>
                <w:rFonts w:hint="default" w:ascii="Arial" w:hAnsi="Arial" w:cs="Arial"/>
                <w:bCs/>
                <w:sz w:val="20"/>
                <w:szCs w:val="21"/>
              </w:rPr>
              <w:t>Enabling method(s) to ensure consistency between training and inference regarding NW-side additional conditions (if identified) for inference at UE for relevant positioning sub use cases</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As per chair</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guidance, </w:t>
      </w:r>
      <w:r>
        <w:rPr>
          <w:rFonts w:hint="eastAsia" w:ascii="Arial" w:hAnsi="Arial" w:eastAsia="宋体" w:cs="Arial"/>
          <w:kern w:val="0"/>
          <w:sz w:val="20"/>
          <w:szCs w:val="20"/>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focus</w:t>
      </w:r>
      <w:r>
        <w:rPr>
          <w:rFonts w:hint="eastAsia" w:ascii="Arial" w:hAnsi="Arial" w:eastAsia="宋体" w:cs="Arial"/>
          <w:kern w:val="0"/>
          <w:sz w:val="20"/>
          <w:szCs w:val="20"/>
        </w:rPr>
        <w:t xml:space="preserve"> on </w:t>
      </w:r>
      <w:r>
        <w:rPr>
          <w:rFonts w:hint="eastAsia" w:ascii="Arial" w:hAnsi="Arial" w:eastAsia="宋体" w:cs="Arial"/>
          <w:kern w:val="0"/>
          <w:sz w:val="20"/>
          <w:szCs w:val="20"/>
          <w:lang w:val="en-US" w:eastAsia="zh-CN"/>
        </w:rPr>
        <w:t>LCM procedure (expect for data collection and model transfer/delivery) for beam management and 1</w:t>
      </w:r>
      <w:r>
        <w:rPr>
          <w:rFonts w:hint="eastAsia" w:ascii="Arial" w:hAnsi="Arial" w:eastAsia="宋体" w:cs="Arial"/>
          <w:kern w:val="0"/>
          <w:sz w:val="20"/>
          <w:szCs w:val="20"/>
          <w:vertAlign w:val="superscript"/>
          <w:lang w:val="en-US" w:eastAsia="zh-CN"/>
        </w:rPr>
        <w:t>st</w:t>
      </w:r>
      <w:r>
        <w:rPr>
          <w:rFonts w:hint="eastAsia" w:ascii="Arial" w:hAnsi="Arial" w:eastAsia="宋体" w:cs="Arial"/>
          <w:kern w:val="0"/>
          <w:sz w:val="20"/>
          <w:szCs w:val="20"/>
          <w:lang w:val="en-US" w:eastAsia="zh-CN"/>
        </w:rPr>
        <w:t xml:space="preserve"> priority positioning use cases of NW-sided model</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General</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During R18 study phase, RAN2 agreed a general functional framework for AI/ML for NR air interface to cover both model-ID-based LCM and functionality-based LCM, which is illustrated in Figure 4.4-1 of TR 38.843 [2]. Management includes the control operation (e.g., selection/(de)activation/switching/fallback) and monitoring (e.g., performance) of AI/ML models or functionalities.  </w:t>
      </w:r>
    </w:p>
    <w:p>
      <w:pPr>
        <w:keepNext w:val="0"/>
        <w:keepLines w:val="0"/>
        <w:pageBreakBefore w:val="0"/>
        <w:widowControl w:val="0"/>
        <w:kinsoku/>
        <w:wordWrap/>
        <w:overflowPunct/>
        <w:topLinePunct w:val="0"/>
        <w:autoSpaceDE/>
        <w:autoSpaceDN/>
        <w:bidi w:val="0"/>
        <w:adjustRightInd/>
        <w:snapToGrid/>
        <w:spacing w:after="0" w:afterLines="50" w:line="240" w:lineRule="auto"/>
        <w:jc w:val="center"/>
        <w:textAlignment w:val="auto"/>
      </w:pPr>
      <w:r>
        <w:object>
          <v:shape id="_x0000_i1025" o:spt="75" type="#_x0000_t75" style="height:189.7pt;width:439.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keepNext w:val="0"/>
        <w:keepLines w:val="0"/>
        <w:pageBreakBefore w:val="0"/>
        <w:widowControl w:val="0"/>
        <w:kinsoku/>
        <w:wordWrap/>
        <w:overflowPunct/>
        <w:topLinePunct w:val="0"/>
        <w:autoSpaceDE/>
        <w:autoSpaceDN/>
        <w:bidi w:val="0"/>
        <w:adjustRightInd/>
        <w:snapToGrid/>
        <w:spacing w:after="0" w:afterLines="50" w:line="240" w:lineRule="auto"/>
        <w:jc w:val="center"/>
        <w:textAlignment w:val="auto"/>
        <w:rPr>
          <w:rFonts w:hint="default" w:eastAsiaTheme="minorEastAsia"/>
          <w:lang w:val="en-US" w:eastAsia="zh-CN"/>
        </w:rPr>
      </w:pPr>
      <w:r>
        <w:rPr>
          <w:rFonts w:hint="default" w:ascii="Arial" w:hAnsi="Arial" w:cs="Arial"/>
          <w:b/>
          <w:bCs/>
          <w:sz w:val="20"/>
          <w:szCs w:val="20"/>
          <w:lang w:eastAsia="ja-JP"/>
        </w:rPr>
        <w:t>Figure</w:t>
      </w:r>
      <w:r>
        <w:rPr>
          <w:rFonts w:hint="default" w:ascii="Arial" w:hAnsi="Arial" w:cs="Arial"/>
          <w:b/>
          <w:bCs/>
          <w:sz w:val="20"/>
          <w:szCs w:val="20"/>
        </w:rPr>
        <w:t xml:space="preserve"> 4.4-1: Functional framework for AI/ML for NR Air Interface</w:t>
      </w:r>
      <w:r>
        <w:rPr>
          <w:rFonts w:hint="eastAsia" w:ascii="Arial" w:hAnsi="Arial" w:cs="Arial"/>
          <w:b/>
          <w:bCs/>
          <w:sz w:val="20"/>
          <w:szCs w:val="20"/>
          <w:lang w:val="en-US" w:eastAsia="zh-CN"/>
        </w:rPr>
        <w:t xml:space="preserve"> </w:t>
      </w:r>
      <w:r>
        <w:rPr>
          <w:rFonts w:hint="eastAsia" w:ascii="Arial" w:hAnsi="Arial" w:cs="Arial"/>
          <w:b/>
          <w:bCs/>
          <w:sz w:val="20"/>
          <w:szCs w:val="20"/>
          <w:vertAlign w:val="superscript"/>
          <w:lang w:val="en-US" w:eastAsia="zh-CN"/>
        </w:rPr>
        <w:t>[2]</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RAN2 also studied the mapping of AI/ML functions to physical entities per use case and captured the conclusions in TR 38.843 [2]. The details on inference and management for beam management and positioning with NW-sided model are as follows.</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beam management with gNB-side model: </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inference is performed within gNB, and the UE can generate the necessary input data (e.g. measurement report) to send to gNB.</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monitoring and control (e.g., selection, (de)activation, switching, fallback, etc.) reside within the gNB.</w:t>
      </w:r>
    </w:p>
    <w:p>
      <w:pPr>
        <w:numPr>
          <w:ilvl w:val="0"/>
          <w:numId w:val="8"/>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positioning with gNB-side model: </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inference is performed within gNB, and input data is internally available at gNB. In this case, the UE also can generate the necessary input data to send to gNB.</w:t>
      </w:r>
    </w:p>
    <w:p>
      <w:pPr>
        <w:numPr>
          <w:ilvl w:val="1"/>
          <w:numId w:val="8"/>
        </w:numPr>
        <w:spacing w:before="120" w:beforeLines="50" w:after="120" w:line="260" w:lineRule="exact"/>
        <w:ind w:left="1260" w:leftChars="0" w:hanging="420" w:firstLineChars="0"/>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monitoring and control (e.g., selection, (de)activation, switching, fallback, etc.) reside within the gNB.</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For positioning with LMF-side model:</w:t>
      </w:r>
    </w:p>
    <w:p>
      <w:pPr>
        <w:numPr>
          <w:ilvl w:val="1"/>
          <w:numId w:val="8"/>
        </w:numPr>
        <w:spacing w:before="120" w:beforeLines="50" w:after="120" w:line="260" w:lineRule="exact"/>
        <w:ind w:left="1260" w:leftChars="0" w:hanging="420" w:firstLineChars="0"/>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inference is performed within LMF, and the UE or gNB can generate the necessary input data to send to LMF.</w:t>
      </w:r>
    </w:p>
    <w:p>
      <w:pPr>
        <w:numPr>
          <w:ilvl w:val="1"/>
          <w:numId w:val="8"/>
        </w:numPr>
        <w:spacing w:before="120" w:beforeLines="50" w:after="120" w:line="260" w:lineRule="exact"/>
        <w:ind w:left="1260" w:leftChars="0" w:hanging="420" w:firstLineChars="0"/>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Model/functionality monitoring and control reside within the LMF.</w:t>
      </w:r>
    </w:p>
    <w:p>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RAN2 also discussed the signaling procedures for model-based and functionality-based LCM, and the procedures are considered at least for UE-side model. </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network-side decision, this can be either network-initiated, or UE-initiated and requested to the network. </w:t>
      </w:r>
    </w:p>
    <w:p>
      <w:pPr>
        <w:numPr>
          <w:ilvl w:val="0"/>
          <w:numId w:val="8"/>
        </w:numPr>
        <w:spacing w:before="120" w:beforeLines="50" w:after="120" w:line="260" w:lineRule="exact"/>
        <w:rPr>
          <w:rFonts w:hint="default" w:ascii="Arial" w:hAnsi="Arial" w:cs="Arial"/>
          <w:sz w:val="20"/>
          <w:szCs w:val="20"/>
        </w:rPr>
      </w:pPr>
      <w:r>
        <w:rPr>
          <w:rFonts w:hint="eastAsia" w:ascii="Arial" w:hAnsi="Arial" w:eastAsia="宋体" w:cs="Arial"/>
          <w:b w:val="0"/>
          <w:bCs w:val="0"/>
          <w:sz w:val="20"/>
          <w:szCs w:val="20"/>
          <w:lang w:val="en-US" w:eastAsia="zh-CN"/>
        </w:rPr>
        <w:t>For UE-side decision, this can be either event-triggered as configured by the network and where the UE</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decision is reported to the network, or UE-autonomous, with or without UE</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decision being reported to the network.</w:t>
      </w:r>
    </w:p>
    <w:p>
      <w:pPr>
        <w:numPr>
          <w:ilvl w:val="0"/>
          <w:numId w:val="0"/>
        </w:numPr>
        <w:spacing w:before="120" w:beforeLines="50" w:after="120" w:line="260" w:lineRule="exact"/>
        <w:rPr>
          <w:rFonts w:hint="eastAsia" w:ascii="Arial" w:hAnsi="Arial" w:eastAsia="宋体" w:cs="Arial"/>
          <w:b/>
          <w:bCs/>
          <w:sz w:val="20"/>
          <w:szCs w:val="20"/>
          <w:u w:val="single"/>
          <w:lang w:val="en-US" w:eastAsia="zh-CN"/>
        </w:rPr>
      </w:pPr>
      <w:r>
        <w:rPr>
          <w:rFonts w:hint="eastAsia" w:ascii="Arial" w:hAnsi="Arial" w:eastAsia="宋体" w:cs="Arial"/>
          <w:b/>
          <w:bCs/>
          <w:sz w:val="20"/>
          <w:szCs w:val="20"/>
          <w:u w:val="single"/>
          <w:lang w:val="en-US" w:eastAsia="zh-CN"/>
        </w:rPr>
        <w:t>General procedure for NW-sided model management</w:t>
      </w:r>
    </w:p>
    <w:p>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NW-sided model management, it is straightforward that </w:t>
      </w:r>
      <w:r>
        <w:rPr>
          <w:rFonts w:hint="eastAsia" w:ascii="Arial" w:hAnsi="Arial" w:eastAsia="宋体" w:cs="Arial"/>
          <w:b w:val="0"/>
          <w:bCs w:val="0"/>
          <w:sz w:val="20"/>
          <w:szCs w:val="20"/>
          <w:highlight w:val="none"/>
          <w:lang w:val="en-US" w:eastAsia="zh-CN"/>
        </w:rPr>
        <w:t xml:space="preserve">network-initiated network-side decision </w:t>
      </w:r>
      <w:r>
        <w:rPr>
          <w:rFonts w:hint="eastAsia" w:ascii="Arial" w:hAnsi="Arial" w:eastAsia="宋体" w:cs="Arial"/>
          <w:b w:val="0"/>
          <w:bCs w:val="0"/>
          <w:sz w:val="20"/>
          <w:szCs w:val="20"/>
          <w:lang w:val="en-US" w:eastAsia="zh-CN"/>
        </w:rPr>
        <w:t xml:space="preserve">is applicable for functionality-based LCM, considering both monitoring and control reside at NW side. Therefore, the Figure 7.2.1.1-1 as illustrated in TR 38.843 [2] can be used as the general framework for NW-sided model management. </w:t>
      </w:r>
    </w:p>
    <w:p>
      <w:pPr>
        <w:numPr>
          <w:ilvl w:val="0"/>
          <w:numId w:val="0"/>
        </w:numPr>
        <w:spacing w:before="120" w:beforeLines="50" w:after="120" w:line="240" w:lineRule="auto"/>
        <w:jc w:val="both"/>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However, since the management is performed within NW side, the management instruction is not needed to send to the UE, so the signaling procedure can be updated as shown in Figure 1.</w:t>
      </w:r>
    </w:p>
    <w:p>
      <w:pPr>
        <w:numPr>
          <w:ilvl w:val="0"/>
          <w:numId w:val="0"/>
        </w:numPr>
        <w:spacing w:before="120" w:beforeLines="50" w:after="120" w:line="240" w:lineRule="auto"/>
        <w:jc w:val="center"/>
      </w:pPr>
      <w:r>
        <w:object>
          <v:shape id="_x0000_i1026" o:spt="75" type="#_x0000_t75" style="height:152.3pt;width:243pt;" o:ole="t" filled="f" o:preferrelative="t" stroked="f" coordsize="21600,21600">
            <v:path/>
            <v:fill on="f" focussize="0,0"/>
            <v:stroke on="f"/>
            <v:imagedata r:id="rId7" cropleft="9273f" croptop="6337f" cropbottom="4123f" o:title=""/>
            <o:lock v:ext="edit" aspectratio="t"/>
            <w10:wrap type="none"/>
            <w10:anchorlock/>
          </v:shape>
          <o:OLEObject Type="Embed" ProgID="Visio.Drawing.15" ShapeID="_x0000_i1026" DrawAspect="Content" ObjectID="_1468075726" r:id="rId6">
            <o:LockedField>false</o:LockedField>
          </o:OLEObject>
        </w:object>
      </w:r>
    </w:p>
    <w:p>
      <w:pPr>
        <w:numPr>
          <w:ilvl w:val="0"/>
          <w:numId w:val="0"/>
        </w:numPr>
        <w:spacing w:before="120" w:beforeLines="50" w:after="120" w:line="240" w:lineRule="auto"/>
        <w:jc w:val="center"/>
        <w:rPr>
          <w:rFonts w:hint="default" w:ascii="Arial" w:hAnsi="Arial" w:cs="Arial" w:eastAsiaTheme="minorEastAsia"/>
          <w:b w:val="0"/>
          <w:bCs w:val="0"/>
          <w:sz w:val="20"/>
          <w:szCs w:val="20"/>
          <w:lang w:val="en-US" w:eastAsia="zh-CN"/>
        </w:rPr>
      </w:pPr>
      <w:r>
        <w:rPr>
          <w:rFonts w:hint="default" w:ascii="Arial" w:hAnsi="Arial" w:cs="Arial"/>
          <w:b/>
          <w:bCs/>
          <w:sz w:val="20"/>
          <w:szCs w:val="20"/>
        </w:rPr>
        <w:t xml:space="preserve">Figure </w:t>
      </w:r>
      <w:r>
        <w:rPr>
          <w:rFonts w:hint="eastAsia" w:ascii="Arial" w:hAnsi="Arial" w:cs="Arial"/>
          <w:b/>
          <w:bCs/>
          <w:sz w:val="20"/>
          <w:szCs w:val="20"/>
          <w:lang w:val="en-US" w:eastAsia="zh-CN"/>
        </w:rPr>
        <w:t>1</w:t>
      </w:r>
      <w:r>
        <w:rPr>
          <w:rFonts w:hint="default" w:ascii="Arial" w:hAnsi="Arial" w:cs="Arial"/>
          <w:b/>
          <w:bCs/>
          <w:sz w:val="20"/>
          <w:szCs w:val="20"/>
        </w:rPr>
        <w:t>: Network decision, network-initiated AI/ML management</w:t>
      </w:r>
      <w:r>
        <w:rPr>
          <w:rFonts w:hint="eastAsia" w:ascii="Arial" w:hAnsi="Arial" w:cs="Arial"/>
          <w:b/>
          <w:bCs/>
          <w:sz w:val="20"/>
          <w:szCs w:val="20"/>
          <w:lang w:val="en-US" w:eastAsia="zh-CN"/>
        </w:rPr>
        <w:t xml:space="preserve"> for NW-sided model</w:t>
      </w:r>
    </w:p>
    <w:p>
      <w:pPr>
        <w:numPr>
          <w:ilvl w:val="0"/>
          <w:numId w:val="0"/>
        </w:numPr>
        <w:spacing w:before="120" w:beforeLines="50" w:after="120" w:line="240" w:lineRule="auto"/>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The network decision, network-initiated method is used for NW-sided model management. The general signaling procedure is illustrated as Figure 1.</w:t>
      </w:r>
    </w:p>
    <w:p>
      <w:pPr>
        <w:numPr>
          <w:ilvl w:val="0"/>
          <w:numId w:val="0"/>
        </w:numPr>
        <w:spacing w:before="120" w:beforeLines="50" w:after="120" w:line="240" w:lineRule="auto"/>
        <w:jc w:val="both"/>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Furthermore, the details of the configuration and UE reporting will be discussed per use case in the following sections. </w:t>
      </w:r>
    </w:p>
    <w:p>
      <w:pPr>
        <w:numPr>
          <w:ilvl w:val="0"/>
          <w:numId w:val="0"/>
        </w:numPr>
        <w:spacing w:before="120" w:beforeLines="50" w:after="120" w:line="240" w:lineRule="auto"/>
        <w:jc w:val="both"/>
        <w:rPr>
          <w:rFonts w:hint="eastAsia" w:ascii="Arial" w:hAnsi="Arial" w:cs="Arial"/>
          <w:b w:val="0"/>
          <w:bCs w:val="0"/>
          <w:sz w:val="20"/>
          <w:szCs w:val="20"/>
          <w:lang w:val="en-US" w:eastAsia="zh-CN"/>
        </w:rPr>
      </w:pPr>
    </w:p>
    <w:p>
      <w:pPr>
        <w:numPr>
          <w:ilvl w:val="0"/>
          <w:numId w:val="0"/>
        </w:numPr>
        <w:spacing w:before="120" w:beforeLines="50" w:after="120" w:line="260" w:lineRule="exact"/>
        <w:rPr>
          <w:rFonts w:hint="default" w:ascii="Arial" w:hAnsi="Arial" w:eastAsia="宋体" w:cs="Arial"/>
          <w:b/>
          <w:bCs/>
          <w:sz w:val="20"/>
          <w:szCs w:val="20"/>
          <w:u w:val="single"/>
          <w:lang w:val="en-US" w:eastAsia="zh-CN"/>
        </w:rPr>
      </w:pPr>
      <w:r>
        <w:rPr>
          <w:rFonts w:hint="eastAsia" w:ascii="Arial" w:hAnsi="Arial" w:eastAsia="宋体" w:cs="Arial"/>
          <w:b/>
          <w:bCs/>
          <w:sz w:val="20"/>
          <w:szCs w:val="20"/>
          <w:u w:val="single"/>
          <w:lang w:val="en-US" w:eastAsia="zh-CN"/>
        </w:rPr>
        <w:t>General procedure for NW-sided model inference</w:t>
      </w:r>
    </w:p>
    <w:p>
      <w:pPr>
        <w:numPr>
          <w:ilvl w:val="0"/>
          <w:numId w:val="0"/>
        </w:numPr>
        <w:spacing w:before="120" w:beforeLines="50" w:after="120" w:line="240" w:lineRule="auto"/>
        <w:jc w:val="both"/>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For beam management and positioning with gNB-sided model, inference is performed with gNB and input data can be measurement reports from UE or generated internally by gNB. Hence the general procedure for gNB-sided model inference can be shown as Figure 2a).</w:t>
      </w:r>
    </w:p>
    <w:p>
      <w:pPr>
        <w:numPr>
          <w:ilvl w:val="0"/>
          <w:numId w:val="0"/>
        </w:numPr>
        <w:spacing w:before="120" w:beforeLines="50" w:after="120" w:line="240" w:lineRule="auto"/>
        <w:jc w:val="both"/>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For positioning with LMF-sided model, the input for inference can be RS measurement reports from UE or gNB. Thus, the general procedure for LMF-sided model inference can be shown as Figure 2b).</w:t>
      </w:r>
    </w:p>
    <w:p>
      <w:pPr>
        <w:numPr>
          <w:ilvl w:val="0"/>
          <w:numId w:val="0"/>
        </w:numPr>
        <w:spacing w:before="120" w:beforeLines="50" w:after="120" w:line="240" w:lineRule="auto"/>
        <w:jc w:val="center"/>
      </w:pPr>
      <w:r>
        <w:object>
          <v:shape id="_x0000_i1027" o:spt="75" type="#_x0000_t75" style="height:147.8pt;width:215.5pt;" o:ole="t" filled="f" o:preferrelative="t" stroked="f" coordsize="21600,21600">
            <v:path/>
            <v:fill on="f" focussize="0,0"/>
            <v:stroke on="f"/>
            <v:imagedata r:id="rId9" cropleft="9062f" croptop="7163f" cropbottom="3837f" o:title=""/>
            <o:lock v:ext="edit" aspectratio="t"/>
            <w10:wrap type="none"/>
            <w10:anchorlock/>
          </v:shape>
          <o:OLEObject Type="Embed" ProgID="Visio.Drawing.15" ShapeID="_x0000_i1027" DrawAspect="Content" ObjectID="_1468075727" r:id="rId8">
            <o:LockedField>false</o:LockedField>
          </o:OLEObject>
        </w:object>
      </w:r>
      <w:r>
        <w:rPr>
          <w:rFonts w:hint="eastAsia"/>
          <w:lang w:val="en-US" w:eastAsia="zh-CN"/>
        </w:rPr>
        <w:t xml:space="preserve"> </w:t>
      </w:r>
      <w:r>
        <w:object>
          <v:shape id="_x0000_i1028" o:spt="75" type="#_x0000_t75" style="height:147.6pt;width:223.15pt;" o:ole="t" filled="f" o:preferrelative="t" stroked="f" coordsize="21600,21600">
            <v:path/>
            <v:fill on="f" focussize="0,0"/>
            <v:stroke on="f"/>
            <v:imagedata r:id="rId11" cropleft="6364f" croptop="6563f" cropright="1220f" cropbottom="3812f" o:title=""/>
            <o:lock v:ext="edit" aspectratio="t"/>
            <w10:wrap type="none"/>
            <w10:anchorlock/>
          </v:shape>
          <o:OLEObject Type="Embed" ProgID="Visio.Drawing.15" ShapeID="_x0000_i1028" DrawAspect="Content" ObjectID="_1468075728" r:id="rId10">
            <o:LockedField>false</o:LockedField>
          </o:OLEObject>
        </w:object>
      </w:r>
    </w:p>
    <w:p>
      <w:pPr>
        <w:numPr>
          <w:ilvl w:val="0"/>
          <w:numId w:val="9"/>
        </w:numPr>
        <w:spacing w:before="120" w:beforeLines="50" w:after="120" w:line="240" w:lineRule="auto"/>
        <w:jc w:val="center"/>
        <w:rPr>
          <w:rFonts w:hint="default" w:ascii="Arial" w:hAnsi="Arial" w:cs="Arial" w:eastAsiaTheme="minorEastAsia"/>
          <w:b/>
          <w:bCs/>
          <w:sz w:val="20"/>
          <w:szCs w:val="20"/>
          <w:lang w:val="en-US" w:eastAsia="zh-CN"/>
        </w:rPr>
      </w:pPr>
      <w:r>
        <w:rPr>
          <w:rFonts w:hint="default" w:ascii="Arial" w:hAnsi="Arial" w:cs="Arial"/>
          <w:b/>
          <w:bCs/>
          <w:sz w:val="20"/>
          <w:szCs w:val="20"/>
          <w:lang w:val="en-US" w:eastAsia="zh-CN"/>
        </w:rPr>
        <w:t>gNB-sided model inference             b) LMF-sided model inference</w:t>
      </w:r>
    </w:p>
    <w:p>
      <w:pPr>
        <w:numPr>
          <w:ilvl w:val="0"/>
          <w:numId w:val="0"/>
        </w:numPr>
        <w:spacing w:before="120" w:beforeLines="50" w:after="120" w:line="240" w:lineRule="auto"/>
        <w:jc w:val="center"/>
        <w:rPr>
          <w:rFonts w:hint="default" w:ascii="Arial" w:hAnsi="Arial" w:cs="Arial" w:eastAsiaTheme="minorEastAsia"/>
          <w:b/>
          <w:bCs/>
          <w:sz w:val="20"/>
          <w:szCs w:val="20"/>
          <w:lang w:val="en-US" w:eastAsia="zh-CN"/>
        </w:rPr>
      </w:pPr>
      <w:r>
        <w:rPr>
          <w:rFonts w:hint="default" w:ascii="Arial" w:hAnsi="Arial" w:cs="Arial"/>
          <w:b/>
          <w:bCs/>
          <w:sz w:val="20"/>
          <w:szCs w:val="20"/>
          <w:lang w:val="en-US" w:eastAsia="zh-CN"/>
        </w:rPr>
        <w:t xml:space="preserve">Figure 2. </w:t>
      </w:r>
      <w:r>
        <w:rPr>
          <w:rFonts w:hint="eastAsia" w:ascii="Arial" w:hAnsi="Arial" w:cs="Arial"/>
          <w:b/>
          <w:bCs/>
          <w:sz w:val="20"/>
          <w:szCs w:val="20"/>
          <w:lang w:val="en-US" w:eastAsia="zh-CN"/>
        </w:rPr>
        <w:t>G</w:t>
      </w:r>
      <w:r>
        <w:rPr>
          <w:rFonts w:hint="default" w:ascii="Arial" w:hAnsi="Arial" w:cs="Arial"/>
          <w:b/>
          <w:bCs/>
          <w:sz w:val="20"/>
          <w:szCs w:val="20"/>
          <w:lang w:val="en-US" w:eastAsia="zh-CN"/>
        </w:rPr>
        <w:t>eneral procedure for NW-sided model inference</w:t>
      </w:r>
    </w:p>
    <w:p>
      <w:pPr>
        <w:numPr>
          <w:ilvl w:val="0"/>
          <w:numId w:val="0"/>
        </w:numPr>
        <w:spacing w:before="120" w:beforeLines="50" w:after="120" w:line="240" w:lineRule="auto"/>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2: The general signaling procedure NW-sided model inference is illustrated as Figure 2.</w:t>
      </w:r>
    </w:p>
    <w:p>
      <w:pPr>
        <w:numPr>
          <w:ilvl w:val="0"/>
          <w:numId w:val="0"/>
        </w:numPr>
        <w:spacing w:before="120" w:beforeLines="50" w:after="120" w:line="240" w:lineRule="auto"/>
        <w:jc w:val="both"/>
        <w:rPr>
          <w:rFonts w:hint="default" w:ascii="Arial" w:hAnsi="Arial" w:cs="Arial"/>
          <w:b/>
          <w:bCs/>
          <w:sz w:val="20"/>
          <w:szCs w:val="20"/>
          <w:lang w:val="en-US" w:eastAsia="zh-CN"/>
        </w:rPr>
      </w:pPr>
    </w:p>
    <w:p>
      <w:pPr>
        <w:spacing w:before="120" w:beforeLines="50" w:after="120" w:line="260" w:lineRule="exact"/>
        <w:rPr>
          <w:rFonts w:hint="eastAsia" w:ascii="Arial" w:hAnsi="Arial" w:cs="Arial"/>
          <w:bCs/>
          <w:sz w:val="20"/>
          <w:szCs w:val="20"/>
        </w:rPr>
      </w:pPr>
      <w:r>
        <w:rPr>
          <w:rFonts w:hint="eastAsia" w:ascii="Arial" w:hAnsi="Arial" w:eastAsia="宋体" w:cs="Arial"/>
          <w:b/>
          <w:bCs/>
          <w:sz w:val="20"/>
          <w:szCs w:val="20"/>
          <w:u w:val="single"/>
          <w:lang w:val="en-US" w:eastAsia="zh-CN"/>
        </w:rPr>
        <w:t>Data collection for NW-sided model</w:t>
      </w:r>
    </w:p>
    <w:p>
      <w:pPr>
        <w:widowControl w:val="0"/>
        <w:numPr>
          <w:ilvl w:val="0"/>
          <w:numId w:val="0"/>
        </w:numPr>
        <w:tabs>
          <w:tab w:val="left" w:pos="420"/>
        </w:tabs>
        <w:spacing w:before="120" w:beforeLines="50" w:after="120" w:line="260" w:lineRule="exact"/>
        <w:jc w:val="both"/>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RAN2 analyzed the existing data collection mechanisms available in current RAN specifications for the UE to report measurements to another entity acting as termination point for this data during R18 study. The existing mechanisms are initiated by NW side, and in general can be applied for NW-sided model. However, it is unnecessary to enhance each mechanism for supporting AI/ML for air interface. Therefore, the down-selection of the mechanisms should be discussed per LCM procedure per use case.</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Logged MDT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Immediate MDT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L3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L1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UE Assistance information (UAI)</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Early measurement</w:t>
      </w:r>
    </w:p>
    <w:p>
      <w:pPr>
        <w:numPr>
          <w:ilvl w:val="0"/>
          <w:numId w:val="8"/>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LPP</w:t>
      </w:r>
    </w:p>
    <w:p>
      <w:pPr>
        <w:spacing w:before="120" w:beforeLines="50" w:after="120" w:line="260" w:lineRule="exact"/>
        <w:rPr>
          <w:rFonts w:hint="default" w:ascii="Arial" w:hAnsi="Arial" w:cs="Arial" w:eastAsiaTheme="minorEastAsia"/>
          <w:b/>
          <w:bCs w:val="0"/>
          <w:sz w:val="20"/>
          <w:szCs w:val="20"/>
          <w:lang w:val="en-US" w:eastAsia="zh-CN"/>
        </w:rPr>
      </w:pPr>
      <w:r>
        <w:rPr>
          <w:rFonts w:hint="eastAsia" w:ascii="Arial" w:hAnsi="Arial" w:cs="Arial"/>
          <w:b/>
          <w:bCs w:val="0"/>
          <w:sz w:val="20"/>
          <w:szCs w:val="20"/>
          <w:lang w:val="en-US" w:eastAsia="zh-CN"/>
        </w:rPr>
        <w:t xml:space="preserve">Proposal 3: </w:t>
      </w:r>
      <w:r>
        <w:rPr>
          <w:rFonts w:hint="eastAsia" w:ascii="Arial" w:hAnsi="Arial" w:eastAsia="宋体" w:cs="Arial"/>
          <w:b/>
          <w:bCs/>
          <w:sz w:val="20"/>
          <w:szCs w:val="20"/>
          <w:lang w:val="en-US" w:eastAsia="zh-CN"/>
        </w:rPr>
        <w:t>Down-selection of the data collection framework should be discussed per LCM procedure per use case.</w:t>
      </w:r>
    </w:p>
    <w:p>
      <w:pPr>
        <w:spacing w:before="120" w:beforeLines="50" w:after="120" w:line="260" w:lineRule="exact"/>
        <w:rPr>
          <w:rFonts w:ascii="Arial" w:hAnsi="Arial" w:cs="Arial"/>
          <w:bCs/>
          <w:sz w:val="20"/>
          <w:szCs w:val="20"/>
        </w:rPr>
      </w:pPr>
      <w:r>
        <w:rPr>
          <w:rFonts w:hint="eastAsia" w:ascii="Arial" w:hAnsi="Arial" w:cs="Arial"/>
          <w:bCs/>
          <w:sz w:val="20"/>
          <w:szCs w:val="20"/>
        </w:rPr>
        <w:t>For the content of data collection</w:t>
      </w:r>
      <w:r>
        <w:rPr>
          <w:rFonts w:hint="eastAsia" w:ascii="Arial" w:hAnsi="Arial" w:cs="Arial"/>
          <w:bCs/>
          <w:sz w:val="20"/>
          <w:szCs w:val="20"/>
          <w:lang w:val="en-US" w:eastAsia="zh-CN"/>
        </w:rPr>
        <w:t xml:space="preserve"> for LCM procedure</w:t>
      </w:r>
      <w:r>
        <w:rPr>
          <w:rFonts w:hint="eastAsia" w:ascii="Arial" w:hAnsi="Arial" w:cs="Arial"/>
          <w:bCs/>
          <w:sz w:val="20"/>
          <w:szCs w:val="20"/>
        </w:rPr>
        <w:t>, RAN2 has send a LS [3] regarding the data collection requirement and content for each sub use case during R18 SI, and RAN1 also replied to the LS about the content and size of UE data in [4], we think the RAN1 Reply LS could be the baseline for the discussion on this issue.</w:t>
      </w:r>
    </w:p>
    <w:p>
      <w:pPr>
        <w:spacing w:before="120" w:beforeLines="50" w:after="120" w:line="260" w:lineRule="exact"/>
        <w:rPr>
          <w:rFonts w:ascii="Arial" w:hAnsi="Arial" w:cs="Arial"/>
          <w:b/>
          <w:sz w:val="20"/>
          <w:szCs w:val="20"/>
        </w:rPr>
      </w:pPr>
      <w:r>
        <w:rPr>
          <w:rFonts w:hint="eastAsia" w:ascii="Arial" w:hAnsi="Arial" w:cs="Arial"/>
          <w:b/>
          <w:sz w:val="20"/>
          <w:szCs w:val="20"/>
        </w:rPr>
        <w:t xml:space="preserve">Proposal </w:t>
      </w:r>
      <w:r>
        <w:rPr>
          <w:rFonts w:hint="eastAsia" w:ascii="Arial" w:hAnsi="Arial" w:cs="Arial"/>
          <w:b/>
          <w:sz w:val="20"/>
          <w:szCs w:val="20"/>
          <w:lang w:val="en-US" w:eastAsia="zh-CN"/>
        </w:rPr>
        <w:t>4</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LCM procedure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p>
    <w:p>
      <w:pPr>
        <w:numPr>
          <w:ilvl w:val="0"/>
          <w:numId w:val="0"/>
        </w:numPr>
        <w:spacing w:before="120" w:beforeLines="50" w:after="120" w:line="240" w:lineRule="auto"/>
        <w:jc w:val="both"/>
        <w:rPr>
          <w:rFonts w:hint="default"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LCM for Beam Management with gNB-sided model</w:t>
      </w:r>
    </w:p>
    <w:p>
      <w:pPr>
        <w:spacing w:before="120" w:beforeLines="50" w:after="120" w:line="260" w:lineRule="exact"/>
        <w:outlineLvl w:val="2"/>
        <w:rPr>
          <w:rFonts w:hint="default" w:ascii="Arial" w:hAnsi="Arial" w:cs="Arial"/>
          <w:b/>
          <w:bCs w:val="0"/>
          <w:sz w:val="21"/>
          <w:szCs w:val="21"/>
          <w:lang w:val="en-US" w:eastAsia="zh-CN"/>
        </w:rPr>
      </w:pPr>
      <w:r>
        <w:rPr>
          <w:rFonts w:hint="eastAsia" w:ascii="Arial" w:hAnsi="Arial" w:cs="Arial"/>
          <w:b/>
          <w:bCs w:val="0"/>
          <w:sz w:val="21"/>
          <w:szCs w:val="21"/>
          <w:lang w:val="en-US" w:eastAsia="zh-CN"/>
        </w:rPr>
        <w:t>2.2.1 Data collection for inference</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As per RAN1 reply LS [4], L1-RSRP and beam-IDs (if needed) of set B are used for gNB-sided model inference, and the latency requirement is time-critical (e.g. a few msecs). In RAN1#116 meeting, RAN1 agreed to use L1 signaling to report the beam info for NW-sided model inference, and the details are under discussion. Therefore, there is no RAN2 impacts on gNB-sided model inference for beam management for now.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eastAsia="等线" w:cs="Arial"/>
                <w:b/>
                <w:bCs/>
                <w:sz w:val="20"/>
                <w:szCs w:val="21"/>
                <w:highlight w:val="green"/>
                <w:lang w:val="en-US" w:eastAsia="zh-CN"/>
              </w:rPr>
            </w:pPr>
            <w:r>
              <w:rPr>
                <w:rFonts w:hint="default" w:ascii="Arial" w:hAnsi="Arial" w:eastAsia="等线" w:cs="Arial"/>
                <w:b/>
                <w:bCs/>
                <w:sz w:val="20"/>
                <w:szCs w:val="21"/>
                <w:highlight w:val="green"/>
                <w:lang w:val="en-US" w:eastAsia="zh-CN"/>
              </w:rPr>
              <w:t>Agreement</w:t>
            </w:r>
          </w:p>
          <w:p>
            <w:pPr>
              <w:rPr>
                <w:rFonts w:hint="eastAsia" w:ascii="Arial" w:hAnsi="Arial" w:cs="Arial"/>
                <w:b w:val="0"/>
                <w:bCs/>
                <w:sz w:val="20"/>
                <w:szCs w:val="20"/>
                <w:vertAlign w:val="baseline"/>
                <w:lang w:val="en-US" w:eastAsia="zh-CN"/>
              </w:rPr>
            </w:pPr>
            <w:r>
              <w:rPr>
                <w:rFonts w:hint="default" w:ascii="Arial" w:hAnsi="Arial" w:eastAsia="Times New Roman" w:cs="Arial"/>
                <w:b/>
                <w:bCs/>
                <w:sz w:val="20"/>
                <w:szCs w:val="21"/>
                <w:lang w:val="en-US" w:eastAsia="zh-CN"/>
              </w:rPr>
              <w:t>For NW-sided model, for inference, in a beam report initiated by network, based on one measurement resource set, support the report of more than 4 beam related information in L1 signaling</w:t>
            </w:r>
          </w:p>
        </w:tc>
      </w:tr>
    </w:tbl>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1: For beam management with gNB-sided model, RAN1 agreed that L1 reporting is used for inference.</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5: There is no RAN2 impacts on gNB-sided model inference for beam management for now.</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jc w:val="center"/>
        <w:textAlignment w:val="auto"/>
        <w:outlineLvl w:val="9"/>
      </w:pPr>
      <w:r>
        <w:object>
          <v:shape id="_x0000_i1029" o:spt="75" type="#_x0000_t75" style="height:198.35pt;width:236.5pt;" o:ole="t" filled="f" o:preferrelative="t" stroked="f" coordsize="21600,21600">
            <v:path/>
            <v:fill on="f" focussize="0,0"/>
            <v:stroke on="f"/>
            <v:imagedata r:id="rId13" croptop="2938f" o:title=""/>
            <o:lock v:ext="edit" aspectratio="t"/>
            <w10:wrap type="none"/>
            <w10:anchorlock/>
          </v:shape>
          <o:OLEObject Type="Embed" ProgID="Visio.Drawing.15" ShapeID="_x0000_i1029" DrawAspect="Content" ObjectID="_1468075729" r:id="rId12">
            <o:LockedField>false</o:LockedField>
          </o:OLEObject>
        </w:object>
      </w:r>
    </w:p>
    <w:p>
      <w:pPr>
        <w:numPr>
          <w:ilvl w:val="0"/>
          <w:numId w:val="0"/>
        </w:numPr>
        <w:spacing w:before="120" w:beforeLines="50" w:after="120" w:line="240" w:lineRule="auto"/>
        <w:jc w:val="center"/>
        <w:rPr>
          <w:rFonts w:hint="eastAsia" w:ascii="Arial" w:hAnsi="Arial" w:cs="Arial"/>
          <w:b/>
          <w:bCs/>
          <w:sz w:val="20"/>
          <w:szCs w:val="20"/>
          <w:lang w:val="en-US" w:eastAsia="zh-CN"/>
        </w:rPr>
      </w:pPr>
      <w:r>
        <w:rPr>
          <w:rFonts w:hint="eastAsia" w:ascii="Arial" w:hAnsi="Arial" w:cs="Arial"/>
          <w:b/>
          <w:bCs/>
          <w:sz w:val="20"/>
          <w:szCs w:val="20"/>
          <w:lang w:val="en-US" w:eastAsia="zh-CN"/>
        </w:rPr>
        <w:t>Figure 3. Model inference at gNB side for BM-Case1</w:t>
      </w:r>
    </w:p>
    <w:p>
      <w:pPr>
        <w:numPr>
          <w:ilvl w:val="0"/>
          <w:numId w:val="0"/>
        </w:numPr>
        <w:spacing w:before="120" w:beforeLines="50" w:after="120" w:line="240" w:lineRule="auto"/>
        <w:jc w:val="center"/>
        <w:rPr>
          <w:rFonts w:hint="default" w:ascii="Arial" w:hAnsi="Arial" w:cs="Arial"/>
          <w:b/>
          <w:bCs/>
          <w:sz w:val="20"/>
          <w:szCs w:val="20"/>
          <w:lang w:val="en-US" w:eastAsia="zh-CN"/>
        </w:rPr>
      </w:pPr>
    </w:p>
    <w:p>
      <w:pPr>
        <w:spacing w:before="120" w:beforeLines="50" w:after="120" w:line="260" w:lineRule="exact"/>
        <w:outlineLvl w:val="2"/>
        <w:rPr>
          <w:rFonts w:hint="default" w:ascii="Arial" w:hAnsi="Arial" w:cs="Arial"/>
          <w:b/>
          <w:bCs w:val="0"/>
          <w:sz w:val="21"/>
          <w:szCs w:val="21"/>
          <w:lang w:val="en-US" w:eastAsia="zh-CN"/>
        </w:rPr>
      </w:pPr>
      <w:r>
        <w:rPr>
          <w:rFonts w:hint="eastAsia" w:ascii="Arial" w:hAnsi="Arial" w:cs="Arial"/>
          <w:b/>
          <w:bCs w:val="0"/>
          <w:sz w:val="21"/>
          <w:szCs w:val="21"/>
          <w:lang w:val="en-US" w:eastAsia="zh-CN"/>
        </w:rPr>
        <w:t>2.2.2 Data collection for management</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beam management with gNB-sided model, the data content for model monitoring includes measured L1-RSRP(s) and/or beam-ID(s) of set A by UE. Afterwards, the gNB can calculate the performance metrics/KPIs and perform monitoring based on the measurement results and model output. And then perform functionality control (e.g. </w:t>
      </w:r>
      <w:r>
        <w:rPr>
          <w:rFonts w:hint="eastAsia" w:ascii="Arial" w:hAnsi="Arial" w:eastAsia="宋体" w:cs="Arial"/>
          <w:b w:val="0"/>
          <w:bCs w:val="0"/>
          <w:sz w:val="20"/>
          <w:szCs w:val="20"/>
          <w:lang w:val="en-US" w:eastAsia="zh-CN"/>
        </w:rPr>
        <w:t>selection, (de)activation, switching, fallback, etc.) based on the monitoring results.</w:t>
      </w:r>
    </w:p>
    <w:p>
      <w:pPr>
        <w:pStyle w:val="9"/>
        <w:jc w:val="center"/>
      </w:pPr>
      <w:r>
        <w:object>
          <v:shape id="_x0000_i1030" o:spt="75" type="#_x0000_t75" style="height:134.15pt;width:222.9pt;" o:ole="t" filled="f" o:preferrelative="t" stroked="f" coordsize="21600,21600">
            <v:path/>
            <v:fill on="f" focussize="0,0"/>
            <v:stroke on="f"/>
            <v:imagedata r:id="rId15" cropleft="10592f" croptop="8141f" cropright="1696f" cropbottom="4514f" o:title=""/>
            <o:lock v:ext="edit" aspectratio="t"/>
            <w10:wrap type="none"/>
            <w10:anchorlock/>
          </v:shape>
          <o:OLEObject Type="Embed" ProgID="Visio.Drawing.15" ShapeID="_x0000_i1030" DrawAspect="Content" ObjectID="_1468075730" r:id="rId14">
            <o:LockedField>false</o:LockedField>
          </o:OLEObject>
        </w:object>
      </w:r>
    </w:p>
    <w:p>
      <w:pPr>
        <w:numPr>
          <w:ilvl w:val="0"/>
          <w:numId w:val="0"/>
        </w:numPr>
        <w:spacing w:before="120" w:beforeLines="50" w:after="120" w:line="240" w:lineRule="auto"/>
        <w:jc w:val="center"/>
        <w:rPr>
          <w:rFonts w:hint="default" w:ascii="Arial" w:hAnsi="Arial" w:cs="Arial"/>
          <w:b/>
          <w:bCs/>
          <w:sz w:val="20"/>
          <w:szCs w:val="20"/>
          <w:lang w:val="en-US" w:eastAsia="zh-CN"/>
        </w:rPr>
      </w:pPr>
      <w:r>
        <w:rPr>
          <w:rFonts w:hint="eastAsia" w:ascii="Arial" w:hAnsi="Arial" w:cs="Arial"/>
          <w:b/>
          <w:bCs/>
          <w:sz w:val="20"/>
          <w:szCs w:val="20"/>
          <w:lang w:val="en-US" w:eastAsia="zh-CN"/>
        </w:rPr>
        <w:t>Figure 4. Model management at gNB side for BM-Case1</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RAN1 indicated that the typical latency requirement for model monitoring for all use cases is near-real-time (e.g. several tens of msecs to a few seconds), and also provided examples of the typical data size.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p>
    <w:p>
      <w:pPr>
        <w:pStyle w:val="9"/>
        <w:rPr>
          <w:rFonts w:hint="eastAsia" w:ascii="Arial" w:hAnsi="Arial" w:eastAsia="等线" w:cs="Arial"/>
          <w:sz w:val="20"/>
          <w:szCs w:val="21"/>
          <w:lang w:val="en-US" w:eastAsia="zh-CN"/>
        </w:rPr>
      </w:pPr>
      <w:r>
        <w:rPr>
          <w:rFonts w:hint="eastAsia" w:ascii="Arial" w:hAnsi="Arial" w:eastAsia="等线" w:cs="Arial"/>
          <w:sz w:val="20"/>
          <w:szCs w:val="21"/>
          <w:lang w:val="en-US" w:eastAsia="zh-CN"/>
        </w:rPr>
        <w:t xml:space="preserve">Based on the analysis above, both L1 reporting and L3 measurement can support the data collection for model monitoring per data sample for beam management. </w:t>
      </w:r>
    </w:p>
    <w:p>
      <w:pPr>
        <w:pStyle w:val="9"/>
        <w:rPr>
          <w:rFonts w:hint="default"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2: Both L1 reporting and L3 measurement supports the requirements on data collection for monitoring for beam management with gNB-sided model.</w:t>
      </w:r>
    </w:p>
    <w:p>
      <w:pPr>
        <w:pStyle w:val="9"/>
        <w:rPr>
          <w:rFonts w:hint="default" w:ascii="Arial" w:hAnsi="Arial" w:eastAsia="等线" w:cs="Arial"/>
          <w:b w:val="0"/>
          <w:bCs w:val="0"/>
          <w:sz w:val="20"/>
          <w:szCs w:val="21"/>
          <w:lang w:val="en-US" w:eastAsia="zh-CN"/>
        </w:rPr>
      </w:pPr>
      <w:r>
        <w:rPr>
          <w:rFonts w:hint="eastAsia" w:ascii="Arial" w:hAnsi="Arial" w:eastAsia="等线" w:cs="Arial"/>
          <w:sz w:val="20"/>
          <w:szCs w:val="21"/>
          <w:lang w:val="en-US" w:eastAsia="zh-CN"/>
        </w:rPr>
        <w:t>However, RAN1 is also discussing whether and how L1 signaling can be used for monitoring, we think RAN2 can wait for RAN1</w:t>
      </w:r>
      <w:r>
        <w:rPr>
          <w:rFonts w:hint="default" w:ascii="Arial" w:hAnsi="Arial" w:eastAsia="等线" w:cs="Arial"/>
          <w:sz w:val="20"/>
          <w:szCs w:val="21"/>
          <w:lang w:val="en-US" w:eastAsia="zh-CN"/>
        </w:rPr>
        <w:t>’</w:t>
      </w:r>
      <w:r>
        <w:rPr>
          <w:rFonts w:hint="eastAsia" w:ascii="Arial" w:hAnsi="Arial" w:eastAsia="等线" w:cs="Arial"/>
          <w:sz w:val="20"/>
          <w:szCs w:val="21"/>
          <w:lang w:val="en-US" w:eastAsia="zh-CN"/>
        </w:rPr>
        <w:t xml:space="preserve">s progress to avoid the duplicated discussion. </w:t>
      </w:r>
    </w:p>
    <w:p>
      <w:pPr>
        <w:spacing w:before="120" w:beforeLines="50" w:after="120" w:line="260" w:lineRule="exact"/>
        <w:rPr>
          <w:rFonts w:hint="default" w:ascii="Arial" w:hAnsi="Arial" w:eastAsia="宋体" w:cs="Arial"/>
          <w:sz w:val="20"/>
          <w:szCs w:val="20"/>
          <w:lang w:val="en-US" w:eastAsia="zh-CN"/>
        </w:rPr>
      </w:pPr>
      <w:r>
        <w:rPr>
          <w:rFonts w:hint="eastAsia" w:ascii="Arial" w:hAnsi="Arial" w:eastAsia="宋体" w:cs="Arial"/>
          <w:b/>
          <w:bCs/>
          <w:kern w:val="0"/>
          <w:sz w:val="20"/>
          <w:szCs w:val="20"/>
          <w:lang w:val="en-US" w:eastAsia="zh-CN"/>
        </w:rPr>
        <w:t>Proposal 6: For beam management with gNB-sided model, RAN2 can wait for RAN1</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whether L1 reporting or L3 measurement is used for monitoring.</w:t>
      </w:r>
    </w:p>
    <w:p>
      <w:pPr>
        <w:keepNext w:val="0"/>
        <w:keepLines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宋体" w:cs="Arial"/>
          <w:b/>
          <w:bCs w:val="0"/>
          <w:sz w:val="20"/>
          <w:szCs w:val="20"/>
          <w:lang w:val="en-US" w:eastAsia="zh-CN"/>
        </w:rPr>
      </w:pPr>
      <w:r>
        <w:rPr>
          <w:rFonts w:hint="default" w:ascii="Arial" w:hAnsi="Arial" w:eastAsia="宋体" w:cs="Arial"/>
          <w:b/>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2.3 LCM for Positioning with network-sided model</w:t>
      </w:r>
    </w:p>
    <w:p>
      <w:pPr>
        <w:pStyle w:val="9"/>
        <w:rPr>
          <w:rFonts w:hint="eastAsia" w:ascii="Arial" w:hAnsi="Arial" w:cs="Arial"/>
          <w:b w:val="0"/>
          <w:bCs/>
          <w:sz w:val="20"/>
          <w:szCs w:val="20"/>
          <w:lang w:val="en-US" w:eastAsia="zh-CN"/>
        </w:rPr>
      </w:pPr>
      <w:r>
        <w:rPr>
          <w:rFonts w:hint="eastAsia" w:ascii="Arial" w:hAnsi="Arial" w:cs="Arial"/>
          <w:b w:val="0"/>
          <w:bCs/>
          <w:sz w:val="20"/>
          <w:szCs w:val="20"/>
          <w:lang w:val="en-US" w:eastAsia="zh-CN"/>
        </w:rPr>
        <w:t>This section will focus on the 1</w:t>
      </w:r>
      <w:r>
        <w:rPr>
          <w:rFonts w:hint="eastAsia" w:ascii="Arial" w:hAnsi="Arial" w:cs="Arial"/>
          <w:b w:val="0"/>
          <w:bCs/>
          <w:sz w:val="20"/>
          <w:szCs w:val="20"/>
          <w:vertAlign w:val="superscript"/>
          <w:lang w:val="en-US" w:eastAsia="zh-CN"/>
        </w:rPr>
        <w:t>st</w:t>
      </w:r>
      <w:r>
        <w:rPr>
          <w:rFonts w:hint="eastAsia" w:ascii="Arial" w:hAnsi="Arial" w:cs="Arial"/>
          <w:b w:val="0"/>
          <w:bCs/>
          <w:sz w:val="20"/>
          <w:szCs w:val="20"/>
          <w:lang w:val="en-US" w:eastAsia="zh-CN"/>
        </w:rPr>
        <w:t xml:space="preserve"> priority positioning sub-use cases with NW-sided model, i.e.</w:t>
      </w:r>
    </w:p>
    <w:p>
      <w:pPr>
        <w:numPr>
          <w:ilvl w:val="0"/>
          <w:numId w:val="8"/>
        </w:num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Case 3a: NG-RAN node assisted positioning with gNB-side model, AI/ML assisted positioning</w:t>
      </w:r>
    </w:p>
    <w:p>
      <w:pPr>
        <w:numPr>
          <w:ilvl w:val="0"/>
          <w:numId w:val="8"/>
        </w:num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Case 3b: NG-RAN node assisted positioning with LMF-side model, direct AI/ML positioning</w:t>
      </w:r>
    </w:p>
    <w:p>
      <w:pPr>
        <w:pStyle w:val="9"/>
        <w:jc w:val="center"/>
      </w:pPr>
      <w:r>
        <w:drawing>
          <wp:inline distT="0" distB="0" distL="114300" distR="114300">
            <wp:extent cx="1201420" cy="183451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6"/>
                    <a:srcRect l="62844" r="18130" b="8052"/>
                    <a:stretch>
                      <a:fillRect/>
                    </a:stretch>
                  </pic:blipFill>
                  <pic:spPr>
                    <a:xfrm>
                      <a:off x="0" y="0"/>
                      <a:ext cx="1201420" cy="1834515"/>
                    </a:xfrm>
                    <a:prstGeom prst="rect">
                      <a:avLst/>
                    </a:prstGeom>
                  </pic:spPr>
                </pic:pic>
              </a:graphicData>
            </a:graphic>
          </wp:inline>
        </w:drawing>
      </w:r>
      <w:r>
        <w:rPr>
          <w:rFonts w:hint="eastAsia"/>
          <w:lang w:val="en-US" w:eastAsia="zh-CN"/>
        </w:rPr>
        <w:t xml:space="preserve">     </w:t>
      </w:r>
      <w:r>
        <w:drawing>
          <wp:inline distT="0" distB="0" distL="114300" distR="114300">
            <wp:extent cx="1100455" cy="182689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6"/>
                    <a:srcRect l="82573" b="8434"/>
                    <a:stretch>
                      <a:fillRect/>
                    </a:stretch>
                  </pic:blipFill>
                  <pic:spPr>
                    <a:xfrm>
                      <a:off x="0" y="0"/>
                      <a:ext cx="1100455" cy="1826895"/>
                    </a:xfrm>
                    <a:prstGeom prst="rect">
                      <a:avLst/>
                    </a:prstGeom>
                  </pic:spPr>
                </pic:pic>
              </a:graphicData>
            </a:graphic>
          </wp:inline>
        </w:drawing>
      </w:r>
    </w:p>
    <w:p>
      <w:pPr>
        <w:pStyle w:val="9"/>
        <w:jc w:val="center"/>
        <w:rPr>
          <w:rFonts w:hint="eastAsia"/>
          <w:lang w:val="en-US" w:eastAsia="zh-CN"/>
        </w:rPr>
      </w:pPr>
      <w:r>
        <w:rPr>
          <w:rFonts w:hint="eastAsia" w:ascii="Arial" w:hAnsi="Arial" w:cs="Arial"/>
          <w:b/>
          <w:bCs/>
          <w:sz w:val="20"/>
          <w:szCs w:val="20"/>
          <w:lang w:val="en-US" w:eastAsia="zh-CN"/>
        </w:rPr>
        <w:t>Figure 5. Case 3a and Case 3b for AI/ML based positioning</w:t>
      </w:r>
      <w:r>
        <w:rPr>
          <w:rFonts w:hint="eastAsia"/>
          <w:lang w:val="en-US" w:eastAsia="zh-CN"/>
        </w:rPr>
        <w:t xml:space="preserve"> </w:t>
      </w:r>
    </w:p>
    <w:p>
      <w:pPr>
        <w:pStyle w:val="9"/>
        <w:jc w:val="center"/>
        <w:rPr>
          <w:rFonts w:hint="default"/>
          <w:lang w:val="en-US" w:eastAsia="zh-CN"/>
        </w:rPr>
      </w:pPr>
    </w:p>
    <w:p>
      <w:pPr>
        <w:spacing w:before="120" w:beforeLines="50" w:after="120" w:line="260" w:lineRule="exact"/>
        <w:outlineLvl w:val="2"/>
        <w:rPr>
          <w:rFonts w:hint="default" w:ascii="Arial" w:hAnsi="Arial" w:cs="Arial"/>
          <w:b/>
          <w:bCs w:val="0"/>
          <w:sz w:val="21"/>
          <w:szCs w:val="21"/>
          <w:lang w:val="en-US" w:eastAsia="zh-CN"/>
        </w:rPr>
      </w:pPr>
      <w:r>
        <w:rPr>
          <w:rFonts w:hint="eastAsia" w:ascii="Arial" w:hAnsi="Arial" w:cs="Arial"/>
          <w:b/>
          <w:bCs w:val="0"/>
          <w:sz w:val="21"/>
          <w:szCs w:val="21"/>
          <w:lang w:val="en-US" w:eastAsia="zh-CN"/>
        </w:rPr>
        <w:t>2.3.1 Data collection for inference</w:t>
      </w:r>
    </w:p>
    <w:p>
      <w:pPr>
        <w:pStyle w:val="9"/>
        <w:rPr>
          <w:rFonts w:hint="default" w:ascii="Arial" w:hAnsi="Arial" w:cs="Arial"/>
          <w:b/>
          <w:bCs w:val="0"/>
          <w:sz w:val="20"/>
          <w:szCs w:val="20"/>
          <w:u w:val="single"/>
          <w:lang w:val="en-US" w:eastAsia="zh-CN"/>
        </w:rPr>
      </w:pPr>
      <w:r>
        <w:rPr>
          <w:rFonts w:hint="eastAsia" w:ascii="Arial" w:hAnsi="Arial" w:cs="Arial"/>
          <w:b/>
          <w:bCs w:val="0"/>
          <w:sz w:val="20"/>
          <w:szCs w:val="20"/>
          <w:u w:val="single"/>
          <w:lang w:val="en-US" w:eastAsia="zh-CN"/>
        </w:rPr>
        <w:t>gNB-sided model (case 3a)</w:t>
      </w:r>
    </w:p>
    <w:p>
      <w:pPr>
        <w:pStyle w:val="9"/>
        <w:rPr>
          <w:rFonts w:hint="eastAsia" w:ascii="Arial" w:hAnsi="Arial" w:cs="Arial"/>
          <w:b w:val="0"/>
          <w:bCs/>
          <w:sz w:val="20"/>
          <w:szCs w:val="20"/>
          <w:lang w:val="en-US" w:eastAsia="zh-CN"/>
        </w:rPr>
      </w:pPr>
      <w:r>
        <w:rPr>
          <w:rFonts w:hint="eastAsia" w:ascii="Arial" w:hAnsi="Arial" w:cs="Arial"/>
          <w:b w:val="0"/>
          <w:bCs/>
          <w:sz w:val="20"/>
          <w:szCs w:val="20"/>
          <w:lang w:val="en-US" w:eastAsia="zh-CN"/>
        </w:rPr>
        <w:t>For gNB-sided model inference, the input is the measurement generated within gNB based on SRS sent by UE, and the output is the intermediate positioning measurement. Then gNB transmits the RS measurement to LMF and LMF generates the UE location, which follows the legacy procedure and NRPPa is applied. In Rel-18, RAN1 agreed input data is internally available at gNB which has no impacts on specs.</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Other enhancements, such as the details of RS measurements and whether to introduce new RS measurement are still under RAN1 discussion. From RAN2 perspective, the enhancements (if any) would focus on NRPPa protocol between gNB and LMF which is in scope of RAN3 and has no RAN2 impacts.</w:t>
      </w:r>
    </w:p>
    <w:p>
      <w:pPr>
        <w:pStyle w:val="9"/>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7: There is no RAN2 impacts on positioning with gNB-sided model inference (case 3a), but there may have impacts on RAN3 if the enhancement on NRPPa protocol is introduced by RAN1.</w:t>
      </w:r>
    </w:p>
    <w:p>
      <w:pPr>
        <w:pStyle w:val="9"/>
        <w:rPr>
          <w:rFonts w:hint="default" w:ascii="Arial" w:hAnsi="Arial" w:cs="Arial"/>
          <w:b/>
          <w:bCs w:val="0"/>
          <w:sz w:val="20"/>
          <w:szCs w:val="20"/>
          <w:lang w:val="en-US" w:eastAsia="zh-CN"/>
        </w:rPr>
      </w:pPr>
      <w:bookmarkStart w:id="1" w:name="_GoBack"/>
      <w:bookmarkEnd w:id="1"/>
    </w:p>
    <w:p>
      <w:pPr>
        <w:pStyle w:val="9"/>
        <w:rPr>
          <w:rFonts w:hint="default" w:ascii="Arial" w:hAnsi="Arial" w:cs="Arial"/>
          <w:b/>
          <w:bCs w:val="0"/>
          <w:sz w:val="20"/>
          <w:szCs w:val="20"/>
          <w:u w:val="single"/>
          <w:lang w:val="en-US" w:eastAsia="zh-CN"/>
        </w:rPr>
      </w:pPr>
      <w:r>
        <w:rPr>
          <w:rFonts w:hint="eastAsia" w:ascii="Arial" w:hAnsi="Arial" w:cs="Arial"/>
          <w:b/>
          <w:bCs w:val="0"/>
          <w:sz w:val="20"/>
          <w:szCs w:val="20"/>
          <w:u w:val="single"/>
          <w:lang w:val="en-US" w:eastAsia="zh-CN"/>
        </w:rPr>
        <w:t>LMF-sided model (case 3b)</w:t>
      </w:r>
    </w:p>
    <w:p>
      <w:pPr>
        <w:pStyle w:val="9"/>
        <w:rPr>
          <w:rFonts w:hint="eastAsia" w:ascii="Arial" w:hAnsi="Arial" w:cs="Arial"/>
          <w:b w:val="0"/>
          <w:bCs/>
          <w:sz w:val="20"/>
          <w:szCs w:val="20"/>
          <w:lang w:val="en-US" w:eastAsia="zh-CN"/>
        </w:rPr>
      </w:pPr>
      <w:r>
        <w:rPr>
          <w:rFonts w:hint="eastAsia" w:ascii="Arial" w:hAnsi="Arial" w:cs="Arial"/>
          <w:b w:val="0"/>
          <w:bCs/>
          <w:sz w:val="20"/>
          <w:szCs w:val="20"/>
          <w:lang w:val="en-US" w:eastAsia="zh-CN"/>
        </w:rPr>
        <w:t>For LMF-sided model inference, the input is the measurement sent by gNB and the output is the UE location. The procedure is the same as legacy. Similar to gNB-sided model, there is also no RAN2 impacts on this case, but the enhancement may be introduced to NRPPa protocol between gNB and LMF which is up to RAN1 discussion.</w:t>
      </w:r>
    </w:p>
    <w:p>
      <w:pPr>
        <w:pStyle w:val="9"/>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8: There is no RAN2 impacts on positioning with LMF-sided model inference (case 3b), but there may have impacts on RAN3 if the enhancement on NRPPa protocol is introduced by RAN1.</w:t>
      </w:r>
    </w:p>
    <w:p>
      <w:pPr>
        <w:pStyle w:val="9"/>
        <w:rPr>
          <w:rFonts w:hint="eastAsia" w:ascii="Arial" w:hAnsi="Arial" w:cs="Arial"/>
          <w:b/>
          <w:bCs w:val="0"/>
          <w:sz w:val="21"/>
          <w:szCs w:val="21"/>
          <w:lang w:val="en-US" w:eastAsia="zh-CN"/>
        </w:rPr>
      </w:pPr>
    </w:p>
    <w:p>
      <w:pPr>
        <w:spacing w:before="120" w:beforeLines="50" w:after="120" w:line="260" w:lineRule="exact"/>
        <w:outlineLvl w:val="2"/>
        <w:rPr>
          <w:rFonts w:hint="default" w:ascii="Arial" w:hAnsi="Arial" w:cs="Arial"/>
          <w:b/>
          <w:bCs w:val="0"/>
          <w:sz w:val="21"/>
          <w:szCs w:val="21"/>
          <w:lang w:val="en-US" w:eastAsia="zh-CN"/>
        </w:rPr>
      </w:pPr>
      <w:r>
        <w:rPr>
          <w:rFonts w:hint="eastAsia" w:ascii="Arial" w:hAnsi="Arial" w:cs="Arial"/>
          <w:b/>
          <w:bCs w:val="0"/>
          <w:sz w:val="21"/>
          <w:szCs w:val="21"/>
          <w:lang w:val="en-US" w:eastAsia="zh-CN"/>
        </w:rPr>
        <w:t>2.3.2 Data collection for management</w:t>
      </w:r>
    </w:p>
    <w:p>
      <w:pPr>
        <w:pStyle w:val="9"/>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model monitoring, RAN1 studied the following options and the details are still under discussion. </w:t>
      </w:r>
    </w:p>
    <w:p>
      <w:pPr>
        <w:pStyle w:val="9"/>
        <w:ind w:leftChars="200"/>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 Option1: The metric of </w:t>
      </w:r>
      <w:bookmarkStart w:id="0" w:name="_Hlk158214702"/>
      <w:r>
        <w:rPr>
          <w:rFonts w:hint="eastAsia" w:ascii="Arial" w:hAnsi="Arial" w:cs="Arial"/>
          <w:b w:val="0"/>
          <w:bCs/>
          <w:sz w:val="20"/>
          <w:szCs w:val="20"/>
          <w:lang w:val="en-US" w:eastAsia="zh-CN"/>
        </w:rPr>
        <w:t>performance monitoring is based on the ground-truth labels</w:t>
      </w:r>
      <w:bookmarkEnd w:id="0"/>
      <w:r>
        <w:rPr>
          <w:rFonts w:hint="eastAsia" w:ascii="Arial" w:hAnsi="Arial" w:cs="Arial"/>
          <w:b w:val="0"/>
          <w:bCs/>
          <w:sz w:val="20"/>
          <w:szCs w:val="20"/>
          <w:lang w:val="en-US" w:eastAsia="zh-CN"/>
        </w:rPr>
        <w:t xml:space="preserve"> (or its approximation).</w:t>
      </w:r>
    </w:p>
    <w:p>
      <w:pPr>
        <w:pStyle w:val="9"/>
        <w:ind w:leftChars="200"/>
        <w:rPr>
          <w:rFonts w:hint="eastAsia" w:ascii="Arial" w:hAnsi="Arial" w:cs="Arial"/>
          <w:b w:val="0"/>
          <w:bCs/>
          <w:sz w:val="20"/>
          <w:szCs w:val="20"/>
          <w:lang w:val="en-US" w:eastAsia="zh-CN"/>
        </w:rPr>
      </w:pPr>
      <w:r>
        <w:rPr>
          <w:rFonts w:hint="eastAsia" w:ascii="Arial" w:hAnsi="Arial" w:cs="Arial"/>
          <w:b w:val="0"/>
          <w:bCs/>
          <w:sz w:val="20"/>
          <w:szCs w:val="20"/>
          <w:lang w:val="en-US" w:eastAsia="zh-CN"/>
        </w:rPr>
        <w:t>- Option2: The metric of performance monitoring is based on statistics of measurement(s) compared to the statistics associated with the training data.</w:t>
      </w:r>
    </w:p>
    <w:p>
      <w:pPr>
        <w:pStyle w:val="9"/>
        <w:rPr>
          <w:rFonts w:hint="default" w:ascii="Arial" w:hAnsi="Arial" w:cs="Arial"/>
          <w:b w:val="0"/>
          <w:bCs/>
          <w:sz w:val="20"/>
          <w:szCs w:val="20"/>
          <w:lang w:val="en-US" w:eastAsia="zh-CN"/>
        </w:rPr>
      </w:pPr>
      <w:r>
        <w:rPr>
          <w:rFonts w:hint="eastAsia" w:ascii="Arial" w:hAnsi="Arial" w:cs="Arial"/>
          <w:b w:val="0"/>
          <w:bCs/>
          <w:sz w:val="20"/>
          <w:szCs w:val="20"/>
          <w:lang w:val="en-US" w:eastAsia="zh-CN"/>
        </w:rPr>
        <w:t>In last meeting, RAN1 agreed to study whether/what assistance information and/or measurement report is needed for performance monitoring for LMF-side model, where the info may be sent from UE/PRU, and/or gNB to LMF.</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cs="Arial"/>
                <w:b/>
                <w:sz w:val="20"/>
                <w:szCs w:val="21"/>
                <w:highlight w:val="green"/>
              </w:rPr>
            </w:pPr>
            <w:r>
              <w:rPr>
                <w:rFonts w:hint="default" w:ascii="Arial" w:hAnsi="Arial" w:cs="Arial"/>
                <w:b/>
                <w:sz w:val="20"/>
                <w:szCs w:val="21"/>
                <w:highlight w:val="green"/>
                <w:lang w:val="en-US" w:eastAsia="zh-CN"/>
              </w:rPr>
              <w:t xml:space="preserve">RAN1#116 </w:t>
            </w:r>
            <w:r>
              <w:rPr>
                <w:rFonts w:hint="default" w:ascii="Arial" w:hAnsi="Arial" w:cs="Arial"/>
                <w:b/>
                <w:sz w:val="20"/>
                <w:szCs w:val="21"/>
                <w:highlight w:val="green"/>
              </w:rPr>
              <w:t>Agreement</w:t>
            </w:r>
          </w:p>
          <w:p>
            <w:pPr>
              <w:rPr>
                <w:rFonts w:hint="default" w:ascii="Arial" w:hAnsi="Arial" w:cs="Arial"/>
                <w:sz w:val="20"/>
                <w:szCs w:val="16"/>
              </w:rPr>
            </w:pPr>
            <w:r>
              <w:rPr>
                <w:rFonts w:hint="default" w:ascii="Arial" w:hAnsi="Arial" w:cs="Arial"/>
                <w:sz w:val="20"/>
                <w:szCs w:val="16"/>
              </w:rPr>
              <w:t>For LMF-side model, RAN1 studies whether/what assistance information and/or measurement report may be sent from UE/PRU, and/or gNB to LMF to assist at least for the performance monitoring.</w:t>
            </w:r>
          </w:p>
          <w:p>
            <w:pPr>
              <w:pStyle w:val="23"/>
              <w:widowControl w:val="0"/>
              <w:numPr>
                <w:ilvl w:val="0"/>
                <w:numId w:val="10"/>
              </w:numPr>
              <w:ind w:leftChars="0"/>
              <w:jc w:val="both"/>
              <w:rPr>
                <w:rFonts w:hint="default"/>
                <w:vertAlign w:val="baseline"/>
                <w:lang w:val="en-US" w:eastAsia="zh-CN"/>
              </w:rPr>
            </w:pPr>
            <w:r>
              <w:rPr>
                <w:rFonts w:hint="default" w:ascii="Arial" w:hAnsi="Arial" w:cs="Arial"/>
                <w:sz w:val="20"/>
                <w:szCs w:val="16"/>
              </w:rPr>
              <w:t xml:space="preserve">RAN1 understands that it is out of RAN1 scope to define monitoring metric calculation and related model management decisions for LMF-side model. </w:t>
            </w:r>
          </w:p>
        </w:tc>
      </w:tr>
    </w:tbl>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Although there is no clear agreements in RAN1, we understand that LPP and NRPPa would be applied for data collection for LMF-sided model monitoring. And the details of the data for monitoring are up to RAN1.</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9: LPP and NRPPa would be enhanced for data collection for LMF-sided model monitoring.  The details of data for monitoring are up to RAN1.</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For gNB-sided model monitoring, it is proposed that assistance signalling from LMF or UE/PRU can be used in TR 38.843 [2]. Therefore, if the assistance signaling is sent from LMF, NRPPa would be applied. And if the assistance signaling is sent from UE/PRU to gNB, L3 signaling would be used.</w:t>
      </w:r>
    </w:p>
    <w:p>
      <w:pPr>
        <w:pStyle w:val="9"/>
        <w:ind w:leftChars="200"/>
        <w:rPr>
          <w:rFonts w:hint="eastAsia" w:ascii="Arial" w:hAnsi="Arial" w:cs="Arial"/>
          <w:b w:val="0"/>
          <w:bCs/>
          <w:sz w:val="20"/>
          <w:szCs w:val="20"/>
          <w:lang w:val="en-US" w:eastAsia="zh-CN"/>
        </w:rPr>
      </w:pPr>
      <w:r>
        <w:rPr>
          <w:rFonts w:hint="eastAsia" w:ascii="Arial" w:hAnsi="Arial" w:cs="Arial"/>
          <w:b w:val="0"/>
          <w:bCs/>
          <w:sz w:val="20"/>
          <w:szCs w:val="20"/>
          <w:lang w:val="en-US" w:eastAsia="zh-CN"/>
        </w:rPr>
        <w:t>-</w:t>
      </w:r>
      <w:r>
        <w:rPr>
          <w:rFonts w:hint="eastAsia" w:ascii="Arial" w:hAnsi="Arial" w:cs="Arial"/>
          <w:b w:val="0"/>
          <w:bCs/>
          <w:sz w:val="20"/>
          <w:szCs w:val="20"/>
          <w:lang w:val="en-US" w:eastAsia="zh-CN"/>
        </w:rPr>
        <w:tab/>
      </w:r>
      <w:r>
        <w:rPr>
          <w:rFonts w:hint="eastAsia" w:ascii="Arial" w:hAnsi="Arial" w:cs="Arial"/>
          <w:b w:val="0"/>
          <w:bCs/>
          <w:sz w:val="20"/>
          <w:szCs w:val="20"/>
          <w:lang w:val="en-US" w:eastAsia="zh-CN"/>
        </w:rPr>
        <w:t>Assistance signaling from LMF to UE/PRU/gNB for UE/gNB-side model monitoring.</w:t>
      </w:r>
    </w:p>
    <w:p>
      <w:pPr>
        <w:pStyle w:val="9"/>
        <w:ind w:leftChars="200"/>
        <w:rPr>
          <w:rFonts w:hint="default" w:ascii="Arial" w:hAnsi="Arial" w:cs="Arial"/>
          <w:b w:val="0"/>
          <w:bCs/>
          <w:sz w:val="20"/>
          <w:szCs w:val="20"/>
          <w:lang w:val="en-US" w:eastAsia="zh-CN"/>
        </w:rPr>
      </w:pPr>
      <w:r>
        <w:rPr>
          <w:rFonts w:hint="eastAsia" w:ascii="Arial" w:hAnsi="Arial" w:cs="Arial"/>
          <w:b w:val="0"/>
          <w:bCs/>
          <w:sz w:val="20"/>
          <w:szCs w:val="20"/>
          <w:lang w:val="en-US" w:eastAsia="zh-CN"/>
        </w:rPr>
        <w:t>-</w:t>
      </w:r>
      <w:r>
        <w:rPr>
          <w:rFonts w:hint="eastAsia" w:ascii="Arial" w:hAnsi="Arial" w:cs="Arial"/>
          <w:b w:val="0"/>
          <w:bCs/>
          <w:sz w:val="20"/>
          <w:szCs w:val="20"/>
          <w:lang w:val="en-US" w:eastAsia="zh-CN"/>
        </w:rPr>
        <w:tab/>
      </w:r>
      <w:r>
        <w:rPr>
          <w:rFonts w:hint="eastAsia" w:ascii="Arial" w:hAnsi="Arial" w:cs="Arial"/>
          <w:b w:val="0"/>
          <w:bCs/>
          <w:sz w:val="20"/>
          <w:szCs w:val="20"/>
          <w:lang w:val="en-US" w:eastAsia="zh-CN"/>
        </w:rPr>
        <w:t>Assistance signaling from UE/PRU for NW-side model monitoring.</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10: For positioning with gNB-sided model monitoring, the following data collection mechanisms can be further enhanced based on RAN1</w:t>
      </w:r>
      <w:r>
        <w:rPr>
          <w:rFonts w:hint="default" w:ascii="Arial" w:hAnsi="Arial" w:cs="Arial"/>
          <w:b/>
          <w:bCs w:val="0"/>
          <w:sz w:val="20"/>
          <w:szCs w:val="20"/>
          <w:lang w:val="en-US" w:eastAsia="zh-CN"/>
        </w:rPr>
        <w:t>’</w:t>
      </w:r>
      <w:r>
        <w:rPr>
          <w:rFonts w:hint="eastAsia" w:ascii="Arial" w:hAnsi="Arial" w:cs="Arial"/>
          <w:b/>
          <w:bCs w:val="0"/>
          <w:sz w:val="20"/>
          <w:szCs w:val="20"/>
          <w:lang w:val="en-US" w:eastAsia="zh-CN"/>
        </w:rPr>
        <w:t>s input.</w:t>
      </w:r>
    </w:p>
    <w:p>
      <w:pPr>
        <w:pStyle w:val="9"/>
        <w:ind w:leftChars="200"/>
        <w:rPr>
          <w:rFonts w:hint="eastAsia" w:ascii="Arial" w:hAnsi="Arial" w:cs="Arial"/>
          <w:b/>
          <w:bCs w:val="0"/>
          <w:sz w:val="20"/>
          <w:szCs w:val="20"/>
          <w:lang w:val="en-US" w:eastAsia="zh-CN"/>
        </w:rPr>
      </w:pPr>
      <w:r>
        <w:rPr>
          <w:rFonts w:hint="eastAsia" w:ascii="Arial" w:hAnsi="Arial" w:cs="Arial"/>
          <w:b/>
          <w:bCs w:val="0"/>
          <w:sz w:val="20"/>
          <w:szCs w:val="20"/>
          <w:lang w:val="en-US" w:eastAsia="zh-CN"/>
        </w:rPr>
        <w:t>- NRPPa is applied, if assistance signaling from LMF to gNB</w:t>
      </w:r>
    </w:p>
    <w:p>
      <w:pPr>
        <w:pStyle w:val="9"/>
        <w:ind w:leftChars="200"/>
        <w:rPr>
          <w:rFonts w:hint="eastAsia" w:ascii="Arial" w:hAnsi="Arial" w:cs="Arial"/>
          <w:b/>
          <w:bCs w:val="0"/>
          <w:sz w:val="20"/>
          <w:szCs w:val="20"/>
          <w:lang w:val="en-US" w:eastAsia="zh-CN"/>
        </w:rPr>
      </w:pPr>
      <w:r>
        <w:rPr>
          <w:rFonts w:hint="eastAsia" w:ascii="Arial" w:hAnsi="Arial" w:cs="Arial"/>
          <w:b/>
          <w:bCs w:val="0"/>
          <w:sz w:val="20"/>
          <w:szCs w:val="20"/>
          <w:lang w:val="en-US" w:eastAsia="zh-CN"/>
        </w:rPr>
        <w:t>- L3 signaling is applied, if assistance signalling from UE/PRU to gNB</w:t>
      </w:r>
    </w:p>
    <w:p>
      <w:pPr>
        <w:pStyle w:val="9"/>
        <w:rPr>
          <w:rFonts w:hint="default"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NW-sided model</w:t>
      </w:r>
      <w:r>
        <w:rPr>
          <w:rFonts w:ascii="Arial" w:hAnsi="Arial" w:eastAsia="宋体" w:cs="Arial"/>
          <w:kern w:val="0"/>
          <w:sz w:val="20"/>
          <w:szCs w:val="20"/>
          <w:lang w:val="en-GB" w:eastAsia="en-US"/>
        </w:rPr>
        <w:t>.</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1: For beam management with gNB-sided model, RAN1 agreed that L1 reporting is used for inference.</w:t>
      </w:r>
    </w:p>
    <w:p>
      <w:pPr>
        <w:spacing w:before="120" w:beforeLines="50" w:after="120" w:line="260" w:lineRule="exact"/>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2: Both L1 reporting and L3 measurement supports the requirements on data collection for monitoring for beam management with gNB-sided model.</w:t>
      </w:r>
    </w:p>
    <w:p>
      <w:pPr>
        <w:spacing w:before="120" w:beforeLines="50" w:after="120" w:line="260" w:lineRule="exact"/>
        <w:rPr>
          <w:rFonts w:hint="default"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General:</w:t>
      </w:r>
    </w:p>
    <w:p>
      <w:pPr>
        <w:numPr>
          <w:ilvl w:val="0"/>
          <w:numId w:val="0"/>
        </w:numPr>
        <w:spacing w:before="120" w:beforeLines="50" w:after="120" w:line="240" w:lineRule="auto"/>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The network decision, network-initiated method is used for NW-sided model management. The general signaling procedure is illustrated as Figure 1.</w:t>
      </w:r>
    </w:p>
    <w:p>
      <w:pPr>
        <w:numPr>
          <w:ilvl w:val="-1"/>
          <w:numId w:val="0"/>
        </w:numPr>
        <w:spacing w:before="120" w:beforeLines="50" w:after="120" w:line="260" w:lineRule="exact"/>
        <w:ind w:left="0" w:firstLine="0"/>
        <w:rPr>
          <w:rFonts w:hint="eastAsia" w:ascii="Arial" w:hAnsi="Arial" w:cs="Arial"/>
          <w:b/>
          <w:bCs/>
          <w:sz w:val="20"/>
          <w:szCs w:val="20"/>
          <w:lang w:val="en-US" w:eastAsia="zh-CN"/>
        </w:rPr>
      </w:pPr>
      <w:r>
        <w:rPr>
          <w:rFonts w:hint="eastAsia" w:ascii="Arial" w:hAnsi="Arial" w:cs="Arial"/>
          <w:b/>
          <w:bCs/>
          <w:sz w:val="20"/>
          <w:szCs w:val="20"/>
          <w:lang w:val="en-US" w:eastAsia="zh-CN"/>
        </w:rPr>
        <w:t>Proposal 2: The general signaling procedure NW-sided model inference is illustrated as Figure 2.</w:t>
      </w:r>
    </w:p>
    <w:p>
      <w:pPr>
        <w:spacing w:before="120" w:beforeLines="50" w:after="120" w:line="260" w:lineRule="exact"/>
        <w:rPr>
          <w:rFonts w:hint="default" w:ascii="Arial" w:hAnsi="Arial" w:cs="Arial" w:eastAsiaTheme="minorEastAsia"/>
          <w:b/>
          <w:bCs w:val="0"/>
          <w:sz w:val="20"/>
          <w:szCs w:val="20"/>
          <w:lang w:val="en-US" w:eastAsia="zh-CN"/>
        </w:rPr>
      </w:pPr>
      <w:r>
        <w:rPr>
          <w:rFonts w:hint="eastAsia" w:ascii="Arial" w:hAnsi="Arial" w:cs="Arial"/>
          <w:b/>
          <w:bCs w:val="0"/>
          <w:sz w:val="20"/>
          <w:szCs w:val="20"/>
          <w:lang w:val="en-US" w:eastAsia="zh-CN"/>
        </w:rPr>
        <w:t xml:space="preserve">Proposal 3: </w:t>
      </w:r>
      <w:r>
        <w:rPr>
          <w:rFonts w:hint="eastAsia" w:ascii="Arial" w:hAnsi="Arial" w:eastAsia="宋体" w:cs="Arial"/>
          <w:b/>
          <w:bCs/>
          <w:sz w:val="20"/>
          <w:szCs w:val="20"/>
          <w:lang w:val="en-US" w:eastAsia="zh-CN"/>
        </w:rPr>
        <w:t>Down-selection of the data collection framework should be discussed per LCM procedure per use case.</w:t>
      </w:r>
    </w:p>
    <w:p>
      <w:pPr>
        <w:spacing w:before="120" w:beforeLines="50" w:after="120" w:line="260" w:lineRule="exact"/>
        <w:rPr>
          <w:rFonts w:hint="eastAsia" w:ascii="Arial" w:hAnsi="Arial" w:cs="Arial"/>
          <w:b/>
          <w:sz w:val="20"/>
          <w:szCs w:val="20"/>
        </w:rPr>
      </w:pPr>
      <w:r>
        <w:rPr>
          <w:rFonts w:hint="eastAsia" w:ascii="Arial" w:hAnsi="Arial" w:cs="Arial"/>
          <w:b/>
          <w:sz w:val="20"/>
          <w:szCs w:val="20"/>
        </w:rPr>
        <w:t xml:space="preserve">Proposal </w:t>
      </w:r>
      <w:r>
        <w:rPr>
          <w:rFonts w:hint="eastAsia" w:ascii="Arial" w:hAnsi="Arial" w:cs="Arial"/>
          <w:b/>
          <w:sz w:val="20"/>
          <w:szCs w:val="20"/>
          <w:lang w:val="en-US" w:eastAsia="zh-CN"/>
        </w:rPr>
        <w:t>4</w:t>
      </w:r>
      <w:r>
        <w:rPr>
          <w:rFonts w:hint="eastAsia" w:ascii="Arial" w:hAnsi="Arial" w:cs="Arial"/>
          <w:b/>
          <w:sz w:val="20"/>
          <w:szCs w:val="20"/>
        </w:rPr>
        <w:t>: For the content of data collection</w:t>
      </w:r>
      <w:r>
        <w:rPr>
          <w:rFonts w:hint="eastAsia" w:ascii="Arial" w:hAnsi="Arial" w:cs="Arial"/>
          <w:b/>
          <w:sz w:val="20"/>
          <w:szCs w:val="20"/>
          <w:lang w:val="en-US" w:eastAsia="zh-CN"/>
        </w:rPr>
        <w:t xml:space="preserve"> for LCM procedure</w:t>
      </w:r>
      <w:r>
        <w:rPr>
          <w:rFonts w:hint="eastAsia" w:ascii="Arial" w:hAnsi="Arial" w:cs="Arial"/>
          <w:b/>
          <w:sz w:val="20"/>
          <w:szCs w:val="20"/>
        </w:rPr>
        <w:t xml:space="preserve">, RAN2 could take the </w:t>
      </w:r>
      <w:r>
        <w:rPr>
          <w:rFonts w:hint="eastAsia" w:ascii="Arial" w:hAnsi="Arial" w:cs="Arial"/>
          <w:b/>
          <w:sz w:val="20"/>
          <w:szCs w:val="20"/>
          <w:lang w:val="en-US" w:eastAsia="zh-CN"/>
        </w:rPr>
        <w:t xml:space="preserve">RAN1 </w:t>
      </w:r>
      <w:r>
        <w:rPr>
          <w:rFonts w:hint="eastAsia" w:ascii="Arial" w:hAnsi="Arial" w:cs="Arial"/>
          <w:b/>
          <w:sz w:val="20"/>
          <w:szCs w:val="20"/>
        </w:rPr>
        <w:t>Reply LS on Data Collection Requirements and Assumptions (R2-2311720) as the baseline.</w:t>
      </w:r>
    </w:p>
    <w:p>
      <w:pPr>
        <w:spacing w:before="120" w:beforeLines="50" w:after="120" w:line="260" w:lineRule="exact"/>
        <w:rPr>
          <w:rFonts w:hint="eastAsia" w:ascii="Arial" w:hAnsi="Arial" w:cs="Arial" w:eastAsiaTheme="minorEastAsia"/>
          <w:b/>
          <w:i/>
          <w:iCs/>
          <w:sz w:val="20"/>
          <w:szCs w:val="20"/>
          <w:u w:val="single"/>
          <w:lang w:val="en-US" w:eastAsia="zh-CN"/>
        </w:rPr>
      </w:pPr>
      <w:r>
        <w:rPr>
          <w:rFonts w:hint="eastAsia" w:ascii="Arial" w:hAnsi="Arial" w:cs="Arial"/>
          <w:b/>
          <w:i/>
          <w:iCs/>
          <w:sz w:val="20"/>
          <w:szCs w:val="20"/>
          <w:u w:val="single"/>
        </w:rPr>
        <w:t>LCM for Beam Management with gNB-sided model</w:t>
      </w:r>
      <w:r>
        <w:rPr>
          <w:rFonts w:hint="eastAsia" w:ascii="Arial" w:hAnsi="Arial" w:cs="Arial"/>
          <w:b/>
          <w:i/>
          <w:iCs/>
          <w:sz w:val="20"/>
          <w:szCs w:val="20"/>
          <w:u w:val="single"/>
          <w:lang w:val="en-US" w:eastAsia="zh-CN"/>
        </w:rPr>
        <w:t>:</w:t>
      </w:r>
    </w:p>
    <w:p>
      <w:pPr>
        <w:numPr>
          <w:ilvl w:val="-1"/>
          <w:numId w:val="0"/>
        </w:numPr>
        <w:spacing w:before="120" w:beforeLines="50" w:after="120" w:line="260" w:lineRule="exact"/>
        <w:ind w:left="0" w:firstLine="0"/>
        <w:rPr>
          <w:rFonts w:ascii="Arial" w:hAnsi="Arial" w:cs="Arial"/>
          <w:b/>
          <w:sz w:val="20"/>
          <w:szCs w:val="20"/>
        </w:rPr>
      </w:pPr>
      <w:r>
        <w:rPr>
          <w:rFonts w:hint="eastAsia" w:ascii="Arial" w:hAnsi="Arial" w:cs="Arial"/>
          <w:b/>
          <w:bCs w:val="0"/>
          <w:sz w:val="20"/>
          <w:szCs w:val="20"/>
          <w:lang w:val="en-US" w:eastAsia="zh-CN"/>
        </w:rPr>
        <w:t>Proposal 5: There is no RAN2 impacts on gNB-sided model inference for beam management for now.</w:t>
      </w:r>
      <w:r>
        <w:rPr>
          <w:rFonts w:hint="eastAsia" w:ascii="Arial" w:hAnsi="Arial" w:cs="Arial"/>
          <w:b/>
          <w:sz w:val="20"/>
          <w:szCs w:val="20"/>
        </w:rPr>
        <w:t xml:space="preserve"> </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For beam management with gNB-sided model, RAN2 can wait for RAN1</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s progress on whether L1 reporting or L3 measurement is used for monitoring.</w:t>
      </w:r>
    </w:p>
    <w:p>
      <w:pPr>
        <w:spacing w:before="120" w:beforeLines="50" w:after="120" w:line="260" w:lineRule="exact"/>
        <w:rPr>
          <w:rFonts w:hint="eastAsia" w:ascii="Arial" w:hAnsi="Arial" w:eastAsia="宋体" w:cs="Arial"/>
          <w:b/>
          <w:bCs/>
          <w:kern w:val="0"/>
          <w:sz w:val="20"/>
          <w:szCs w:val="20"/>
          <w:u w:val="single"/>
          <w:lang w:val="en-US" w:eastAsia="zh-CN"/>
        </w:rPr>
      </w:pPr>
      <w:r>
        <w:rPr>
          <w:rFonts w:hint="eastAsia" w:ascii="Arial" w:hAnsi="Arial" w:cs="Arial"/>
          <w:b/>
          <w:i/>
          <w:iCs/>
          <w:sz w:val="20"/>
          <w:szCs w:val="20"/>
          <w:u w:val="single"/>
        </w:rPr>
        <w:t xml:space="preserve">LCM for </w:t>
      </w:r>
      <w:r>
        <w:rPr>
          <w:rFonts w:hint="eastAsia" w:ascii="Arial" w:hAnsi="Arial" w:cs="Arial"/>
          <w:b/>
          <w:i/>
          <w:iCs/>
          <w:sz w:val="20"/>
          <w:szCs w:val="20"/>
          <w:u w:val="single"/>
          <w:lang w:val="en-US" w:eastAsia="zh-CN"/>
        </w:rPr>
        <w:t>Positioning</w:t>
      </w:r>
      <w:r>
        <w:rPr>
          <w:rFonts w:hint="eastAsia" w:ascii="Arial" w:hAnsi="Arial" w:cs="Arial"/>
          <w:b/>
          <w:i/>
          <w:iCs/>
          <w:sz w:val="20"/>
          <w:szCs w:val="20"/>
          <w:u w:val="single"/>
        </w:rPr>
        <w:t xml:space="preserve"> with </w:t>
      </w:r>
      <w:r>
        <w:rPr>
          <w:rFonts w:hint="eastAsia" w:ascii="Arial" w:hAnsi="Arial" w:cs="Arial"/>
          <w:b/>
          <w:i/>
          <w:iCs/>
          <w:sz w:val="20"/>
          <w:szCs w:val="20"/>
          <w:u w:val="single"/>
          <w:lang w:val="en-US" w:eastAsia="zh-CN"/>
        </w:rPr>
        <w:t>network</w:t>
      </w:r>
      <w:r>
        <w:rPr>
          <w:rFonts w:hint="eastAsia" w:ascii="Arial" w:hAnsi="Arial" w:cs="Arial"/>
          <w:b/>
          <w:i/>
          <w:iCs/>
          <w:sz w:val="20"/>
          <w:szCs w:val="20"/>
          <w:u w:val="single"/>
        </w:rPr>
        <w:t>-sided model</w:t>
      </w:r>
      <w:r>
        <w:rPr>
          <w:rFonts w:hint="eastAsia" w:ascii="Arial" w:hAnsi="Arial" w:cs="Arial"/>
          <w:b/>
          <w:i/>
          <w:iCs/>
          <w:sz w:val="20"/>
          <w:szCs w:val="20"/>
          <w:u w:val="single"/>
          <w:lang w:val="en-US" w:eastAsia="zh-CN"/>
        </w:rPr>
        <w:t>:</w:t>
      </w:r>
    </w:p>
    <w:p>
      <w:pPr>
        <w:pStyle w:val="9"/>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7: There is no RAN2 impacts on positioning with gNB-sided model inference (case 3a), but there may have impacts on RAN3 if the enhancement on NRPPa protocol is introduced by RAN1.</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8: There is no RAN2 impacts on positioning with LMF-sided model inference (case 3b), but there may have impacts on RAN3 if the enhancement on NRPPa protocol is introduced by RAN1.</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9: LPP and NRPPa would be enhanced for data collection for LMF-sided model monitoring.  The details of data for monitoring are up to RAN1.</w:t>
      </w:r>
    </w:p>
    <w:p>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10: For positioning with gNB-sided model monitoring, the following data collection mechanisms can be further enhanced based on RAN1</w:t>
      </w:r>
      <w:r>
        <w:rPr>
          <w:rFonts w:hint="default" w:ascii="Arial" w:hAnsi="Arial" w:cs="Arial"/>
          <w:b/>
          <w:bCs w:val="0"/>
          <w:sz w:val="20"/>
          <w:szCs w:val="20"/>
          <w:lang w:val="en-US" w:eastAsia="zh-CN"/>
        </w:rPr>
        <w:t>’</w:t>
      </w:r>
      <w:r>
        <w:rPr>
          <w:rFonts w:hint="eastAsia" w:ascii="Arial" w:hAnsi="Arial" w:cs="Arial"/>
          <w:b/>
          <w:bCs w:val="0"/>
          <w:sz w:val="20"/>
          <w:szCs w:val="20"/>
          <w:lang w:val="en-US" w:eastAsia="zh-CN"/>
        </w:rPr>
        <w:t>s input.</w:t>
      </w:r>
    </w:p>
    <w:p>
      <w:pPr>
        <w:pStyle w:val="9"/>
        <w:ind w:leftChars="200"/>
        <w:rPr>
          <w:rFonts w:hint="eastAsia" w:ascii="Arial" w:hAnsi="Arial" w:cs="Arial"/>
          <w:b/>
          <w:bCs w:val="0"/>
          <w:sz w:val="20"/>
          <w:szCs w:val="20"/>
          <w:lang w:val="en-US" w:eastAsia="zh-CN"/>
        </w:rPr>
      </w:pPr>
      <w:r>
        <w:rPr>
          <w:rFonts w:hint="eastAsia" w:ascii="Arial" w:hAnsi="Arial" w:cs="Arial"/>
          <w:b/>
          <w:bCs w:val="0"/>
          <w:sz w:val="20"/>
          <w:szCs w:val="20"/>
          <w:lang w:val="en-US" w:eastAsia="zh-CN"/>
        </w:rPr>
        <w:t>- NRPPa is applied, if assistance signaling from LMF to gNB</w:t>
      </w:r>
    </w:p>
    <w:p>
      <w:pPr>
        <w:pStyle w:val="9"/>
        <w:spacing w:before="120" w:beforeLines="50" w:after="120" w:line="260" w:lineRule="exact"/>
        <w:ind w:leftChars="200"/>
        <w:rPr>
          <w:rFonts w:hint="eastAsia" w:ascii="Arial" w:hAnsi="Arial" w:cs="Arial"/>
          <w:b/>
          <w:bCs w:val="0"/>
          <w:sz w:val="20"/>
          <w:szCs w:val="20"/>
          <w:lang w:val="en-US" w:eastAsia="zh-CN"/>
        </w:rPr>
      </w:pPr>
      <w:r>
        <w:rPr>
          <w:rFonts w:hint="eastAsia" w:ascii="Arial" w:hAnsi="Arial" w:cs="Arial"/>
          <w:b/>
          <w:bCs w:val="0"/>
          <w:sz w:val="20"/>
          <w:szCs w:val="20"/>
          <w:lang w:val="en-US" w:eastAsia="zh-CN"/>
        </w:rPr>
        <w:t>- L3 signaling is applied, if assistance signalling from UE/PRU to gNB</w:t>
      </w:r>
    </w:p>
    <w:p>
      <w:pPr>
        <w:pStyle w:val="9"/>
        <w:spacing w:before="120" w:beforeLines="50" w:after="120" w:line="260" w:lineRule="exact"/>
        <w:ind w:leftChars="0"/>
        <w:rPr>
          <w:rFonts w:hint="eastAsia"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R2-2306906 LS out on Data Collection Requirements and Assumptions</w:t>
      </w:r>
    </w:p>
    <w:p>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F43B1"/>
    <w:multiLevelType w:val="singleLevel"/>
    <w:tmpl w:val="C60F43B1"/>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4D66ADD5"/>
    <w:multiLevelType w:val="multilevel"/>
    <w:tmpl w:val="4D66ADD5"/>
    <w:lvl w:ilvl="0" w:tentative="0">
      <w:start w:val="1"/>
      <w:numFmt w:val="bullet"/>
      <w:lvlText w:val=""/>
      <w:lvlJc w:val="left"/>
      <w:pPr>
        <w:tabs>
          <w:tab w:val="left" w:pos="420"/>
        </w:tabs>
        <w:ind w:left="840" w:hanging="42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50BED944"/>
    <w:multiLevelType w:val="singleLevel"/>
    <w:tmpl w:val="50BED944"/>
    <w:lvl w:ilvl="0" w:tentative="0">
      <w:start w:val="1"/>
      <w:numFmt w:val="decimal"/>
      <w:lvlText w:val="%1"/>
      <w:lvlJc w:val="left"/>
    </w:lvl>
  </w:abstractNum>
  <w:abstractNum w:abstractNumId="7">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CE70014"/>
    <w:multiLevelType w:val="multilevel"/>
    <w:tmpl w:val="7CE700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9"/>
  </w:num>
  <w:num w:numId="4">
    <w:abstractNumId w:val="8"/>
  </w:num>
  <w:num w:numId="5">
    <w:abstractNumId w:val="6"/>
  </w:num>
  <w:num w:numId="6">
    <w:abstractNumId w:val="7"/>
  </w:num>
  <w:num w:numId="7">
    <w:abstractNumId w:val="2"/>
  </w:num>
  <w:num w:numId="8">
    <w:abstractNumId w:val="5"/>
  </w:num>
  <w:num w:numId="9">
    <w:abstractNumId w:val="0"/>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C09D2"/>
    <w:rsid w:val="01E966BF"/>
    <w:rsid w:val="02042EE5"/>
    <w:rsid w:val="02395107"/>
    <w:rsid w:val="024029EF"/>
    <w:rsid w:val="029B08C6"/>
    <w:rsid w:val="02A424C3"/>
    <w:rsid w:val="02B71025"/>
    <w:rsid w:val="02F44A56"/>
    <w:rsid w:val="02FA6D08"/>
    <w:rsid w:val="0300491B"/>
    <w:rsid w:val="030E32B0"/>
    <w:rsid w:val="03190295"/>
    <w:rsid w:val="03280770"/>
    <w:rsid w:val="03877AE8"/>
    <w:rsid w:val="038A1F16"/>
    <w:rsid w:val="041A101A"/>
    <w:rsid w:val="04861CA0"/>
    <w:rsid w:val="049D4FC2"/>
    <w:rsid w:val="04A12BB9"/>
    <w:rsid w:val="04A37BF0"/>
    <w:rsid w:val="04F25DBA"/>
    <w:rsid w:val="04F46CEE"/>
    <w:rsid w:val="04FD5053"/>
    <w:rsid w:val="05317C81"/>
    <w:rsid w:val="0535282D"/>
    <w:rsid w:val="054134AD"/>
    <w:rsid w:val="056C27CB"/>
    <w:rsid w:val="0571089C"/>
    <w:rsid w:val="058844D8"/>
    <w:rsid w:val="05AD7C3D"/>
    <w:rsid w:val="05B81468"/>
    <w:rsid w:val="05B92B80"/>
    <w:rsid w:val="05CC288F"/>
    <w:rsid w:val="05FB3716"/>
    <w:rsid w:val="061355E6"/>
    <w:rsid w:val="064F5C41"/>
    <w:rsid w:val="069766D8"/>
    <w:rsid w:val="06C73D4E"/>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54A11"/>
    <w:rsid w:val="095A6DFD"/>
    <w:rsid w:val="09926330"/>
    <w:rsid w:val="09AD7F7C"/>
    <w:rsid w:val="09B92009"/>
    <w:rsid w:val="09C411E9"/>
    <w:rsid w:val="09D63199"/>
    <w:rsid w:val="09F124DC"/>
    <w:rsid w:val="09F8719E"/>
    <w:rsid w:val="0A0C3321"/>
    <w:rsid w:val="0A0C359D"/>
    <w:rsid w:val="0A103B20"/>
    <w:rsid w:val="0A1469F1"/>
    <w:rsid w:val="0A173D8A"/>
    <w:rsid w:val="0A6E0808"/>
    <w:rsid w:val="0AA35EAE"/>
    <w:rsid w:val="0AAC7074"/>
    <w:rsid w:val="0AB622D1"/>
    <w:rsid w:val="0ADE2342"/>
    <w:rsid w:val="0AE21792"/>
    <w:rsid w:val="0AF33383"/>
    <w:rsid w:val="0AFD0EBC"/>
    <w:rsid w:val="0B054A96"/>
    <w:rsid w:val="0B11078A"/>
    <w:rsid w:val="0B1B28B6"/>
    <w:rsid w:val="0B7B639C"/>
    <w:rsid w:val="0B7E67EB"/>
    <w:rsid w:val="0B96175E"/>
    <w:rsid w:val="0BB81E48"/>
    <w:rsid w:val="0BD639B6"/>
    <w:rsid w:val="0BE427FA"/>
    <w:rsid w:val="0BF550E1"/>
    <w:rsid w:val="0C202296"/>
    <w:rsid w:val="0C415301"/>
    <w:rsid w:val="0C4853AF"/>
    <w:rsid w:val="0C5466CF"/>
    <w:rsid w:val="0C6C1EE0"/>
    <w:rsid w:val="0C6D2AE5"/>
    <w:rsid w:val="0C7F3E15"/>
    <w:rsid w:val="0CA51952"/>
    <w:rsid w:val="0CC05689"/>
    <w:rsid w:val="0CD5224C"/>
    <w:rsid w:val="0CE47224"/>
    <w:rsid w:val="0CED527E"/>
    <w:rsid w:val="0D362C45"/>
    <w:rsid w:val="0D5F0F66"/>
    <w:rsid w:val="0D6C40D7"/>
    <w:rsid w:val="0D711EBE"/>
    <w:rsid w:val="0D771EA7"/>
    <w:rsid w:val="0DA728AC"/>
    <w:rsid w:val="0DAD175B"/>
    <w:rsid w:val="0DE11C21"/>
    <w:rsid w:val="0DE14E46"/>
    <w:rsid w:val="0E3D4FDF"/>
    <w:rsid w:val="0E4A09D7"/>
    <w:rsid w:val="0E554683"/>
    <w:rsid w:val="0E56201A"/>
    <w:rsid w:val="0E6E3C34"/>
    <w:rsid w:val="0EAF327B"/>
    <w:rsid w:val="0F1D748A"/>
    <w:rsid w:val="0F4E079B"/>
    <w:rsid w:val="0F732504"/>
    <w:rsid w:val="0F782620"/>
    <w:rsid w:val="0F8A7784"/>
    <w:rsid w:val="0F8C51E0"/>
    <w:rsid w:val="0FC803F4"/>
    <w:rsid w:val="10090A65"/>
    <w:rsid w:val="108B22CD"/>
    <w:rsid w:val="10AC6F3F"/>
    <w:rsid w:val="10C31C47"/>
    <w:rsid w:val="10C64AE7"/>
    <w:rsid w:val="10F04644"/>
    <w:rsid w:val="110171B2"/>
    <w:rsid w:val="11171B9A"/>
    <w:rsid w:val="111F30A5"/>
    <w:rsid w:val="11900A86"/>
    <w:rsid w:val="119B1CE5"/>
    <w:rsid w:val="11B90EBA"/>
    <w:rsid w:val="11D44799"/>
    <w:rsid w:val="11D65F4E"/>
    <w:rsid w:val="11E4251C"/>
    <w:rsid w:val="1236016D"/>
    <w:rsid w:val="123900DB"/>
    <w:rsid w:val="123B6254"/>
    <w:rsid w:val="1290495A"/>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11444B"/>
    <w:rsid w:val="152B1104"/>
    <w:rsid w:val="154A66B0"/>
    <w:rsid w:val="159C7EDD"/>
    <w:rsid w:val="15BE553B"/>
    <w:rsid w:val="15E03E14"/>
    <w:rsid w:val="15E4550B"/>
    <w:rsid w:val="15E9482E"/>
    <w:rsid w:val="161147C5"/>
    <w:rsid w:val="16327956"/>
    <w:rsid w:val="166A7A3B"/>
    <w:rsid w:val="16725680"/>
    <w:rsid w:val="168B0BBD"/>
    <w:rsid w:val="16A3322F"/>
    <w:rsid w:val="16C120B7"/>
    <w:rsid w:val="16CD3708"/>
    <w:rsid w:val="16D51B5B"/>
    <w:rsid w:val="16D7712F"/>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5E2B2B"/>
    <w:rsid w:val="1BB22919"/>
    <w:rsid w:val="1BF91505"/>
    <w:rsid w:val="1C064DE2"/>
    <w:rsid w:val="1C263D41"/>
    <w:rsid w:val="1C6673DB"/>
    <w:rsid w:val="1C6A1BB2"/>
    <w:rsid w:val="1C726F5B"/>
    <w:rsid w:val="1CC529AF"/>
    <w:rsid w:val="1CC914E2"/>
    <w:rsid w:val="1CD81789"/>
    <w:rsid w:val="1D031FA5"/>
    <w:rsid w:val="1D700D25"/>
    <w:rsid w:val="1DA1677A"/>
    <w:rsid w:val="1DA90A2F"/>
    <w:rsid w:val="1DB26D48"/>
    <w:rsid w:val="1DE55E1B"/>
    <w:rsid w:val="1DEA2636"/>
    <w:rsid w:val="1E015BFF"/>
    <w:rsid w:val="1E0717B3"/>
    <w:rsid w:val="1E261FEC"/>
    <w:rsid w:val="1E5D014C"/>
    <w:rsid w:val="1E625159"/>
    <w:rsid w:val="1E6C052F"/>
    <w:rsid w:val="1E8017FF"/>
    <w:rsid w:val="1E8A1312"/>
    <w:rsid w:val="1EB31B66"/>
    <w:rsid w:val="1EB529F8"/>
    <w:rsid w:val="1EDA06DF"/>
    <w:rsid w:val="1EE73F05"/>
    <w:rsid w:val="1EF17AB3"/>
    <w:rsid w:val="1F1F4D17"/>
    <w:rsid w:val="1F8A3BD5"/>
    <w:rsid w:val="1FE63CE8"/>
    <w:rsid w:val="20254C14"/>
    <w:rsid w:val="203F22FB"/>
    <w:rsid w:val="205E7BE3"/>
    <w:rsid w:val="208A18F1"/>
    <w:rsid w:val="208D63E6"/>
    <w:rsid w:val="20A506BA"/>
    <w:rsid w:val="20B65FAF"/>
    <w:rsid w:val="20F63843"/>
    <w:rsid w:val="20FE18B0"/>
    <w:rsid w:val="21376EA4"/>
    <w:rsid w:val="21513A3C"/>
    <w:rsid w:val="215A766D"/>
    <w:rsid w:val="21667FDB"/>
    <w:rsid w:val="219C1508"/>
    <w:rsid w:val="21FA5606"/>
    <w:rsid w:val="22046DF1"/>
    <w:rsid w:val="220A4513"/>
    <w:rsid w:val="227C53D9"/>
    <w:rsid w:val="229575D0"/>
    <w:rsid w:val="22B32E1B"/>
    <w:rsid w:val="22CD6AE0"/>
    <w:rsid w:val="236906A5"/>
    <w:rsid w:val="2375481A"/>
    <w:rsid w:val="23797368"/>
    <w:rsid w:val="23822B30"/>
    <w:rsid w:val="23B06B01"/>
    <w:rsid w:val="23B828A0"/>
    <w:rsid w:val="23C250CF"/>
    <w:rsid w:val="23C640E9"/>
    <w:rsid w:val="23EE120B"/>
    <w:rsid w:val="2403705B"/>
    <w:rsid w:val="24110B80"/>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25126B"/>
    <w:rsid w:val="274C2D2B"/>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733D9F"/>
    <w:rsid w:val="29A61468"/>
    <w:rsid w:val="29BE37C1"/>
    <w:rsid w:val="2A5039D7"/>
    <w:rsid w:val="2A665688"/>
    <w:rsid w:val="2A7D74CC"/>
    <w:rsid w:val="2A7F4563"/>
    <w:rsid w:val="2AC3696A"/>
    <w:rsid w:val="2ACF09B7"/>
    <w:rsid w:val="2B0C4777"/>
    <w:rsid w:val="2B0F36E3"/>
    <w:rsid w:val="2B3F4C1F"/>
    <w:rsid w:val="2B4D1216"/>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B7B03"/>
    <w:rsid w:val="2D440581"/>
    <w:rsid w:val="2D470656"/>
    <w:rsid w:val="2D493ADC"/>
    <w:rsid w:val="2D493B59"/>
    <w:rsid w:val="2D55451C"/>
    <w:rsid w:val="2D5B158F"/>
    <w:rsid w:val="2D7B5269"/>
    <w:rsid w:val="2DD85F0E"/>
    <w:rsid w:val="2DF144D1"/>
    <w:rsid w:val="2DFB6036"/>
    <w:rsid w:val="2E2A6622"/>
    <w:rsid w:val="2E3472AB"/>
    <w:rsid w:val="2E3D031C"/>
    <w:rsid w:val="2EA86437"/>
    <w:rsid w:val="2EB103B1"/>
    <w:rsid w:val="2F0F71E6"/>
    <w:rsid w:val="2F383A5C"/>
    <w:rsid w:val="2F4559EE"/>
    <w:rsid w:val="2F742945"/>
    <w:rsid w:val="2F880DEC"/>
    <w:rsid w:val="2F9D4B14"/>
    <w:rsid w:val="2FBE43F5"/>
    <w:rsid w:val="2FC53C32"/>
    <w:rsid w:val="2FC55B9D"/>
    <w:rsid w:val="2FD157C7"/>
    <w:rsid w:val="300A115E"/>
    <w:rsid w:val="301241C3"/>
    <w:rsid w:val="30296BB8"/>
    <w:rsid w:val="307945DD"/>
    <w:rsid w:val="30851FC0"/>
    <w:rsid w:val="309D4655"/>
    <w:rsid w:val="30C026F3"/>
    <w:rsid w:val="314A0092"/>
    <w:rsid w:val="315423FA"/>
    <w:rsid w:val="315B7AEC"/>
    <w:rsid w:val="31710789"/>
    <w:rsid w:val="317503B0"/>
    <w:rsid w:val="31D53C4D"/>
    <w:rsid w:val="31F2254D"/>
    <w:rsid w:val="31F71A11"/>
    <w:rsid w:val="31FE12AB"/>
    <w:rsid w:val="3207261B"/>
    <w:rsid w:val="320A1195"/>
    <w:rsid w:val="320E382B"/>
    <w:rsid w:val="321A185A"/>
    <w:rsid w:val="321B4537"/>
    <w:rsid w:val="32513A45"/>
    <w:rsid w:val="32B50B2C"/>
    <w:rsid w:val="32C84DFE"/>
    <w:rsid w:val="32FA3DAF"/>
    <w:rsid w:val="332122CC"/>
    <w:rsid w:val="332D5F33"/>
    <w:rsid w:val="3337740D"/>
    <w:rsid w:val="337F1035"/>
    <w:rsid w:val="33805DA1"/>
    <w:rsid w:val="338C56E4"/>
    <w:rsid w:val="33934B2E"/>
    <w:rsid w:val="339441CF"/>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4E123E"/>
    <w:rsid w:val="354F2AD2"/>
    <w:rsid w:val="35566C29"/>
    <w:rsid w:val="35AF552A"/>
    <w:rsid w:val="35C36B07"/>
    <w:rsid w:val="35C60438"/>
    <w:rsid w:val="360D6591"/>
    <w:rsid w:val="361E2AEF"/>
    <w:rsid w:val="361F2C5E"/>
    <w:rsid w:val="363976F7"/>
    <w:rsid w:val="36681B72"/>
    <w:rsid w:val="366B38CD"/>
    <w:rsid w:val="366E68DA"/>
    <w:rsid w:val="36BD137C"/>
    <w:rsid w:val="36E02E58"/>
    <w:rsid w:val="36F84B57"/>
    <w:rsid w:val="3720190B"/>
    <w:rsid w:val="37293C39"/>
    <w:rsid w:val="3751494E"/>
    <w:rsid w:val="375A24EA"/>
    <w:rsid w:val="37757EA8"/>
    <w:rsid w:val="3784494C"/>
    <w:rsid w:val="37BC00E4"/>
    <w:rsid w:val="37C859C7"/>
    <w:rsid w:val="37D62F7A"/>
    <w:rsid w:val="37E40AE8"/>
    <w:rsid w:val="3801173C"/>
    <w:rsid w:val="38060F79"/>
    <w:rsid w:val="384E5649"/>
    <w:rsid w:val="38746ABC"/>
    <w:rsid w:val="38761BD7"/>
    <w:rsid w:val="3876347B"/>
    <w:rsid w:val="388D15D1"/>
    <w:rsid w:val="38AE69D5"/>
    <w:rsid w:val="38FC0060"/>
    <w:rsid w:val="38FC32F5"/>
    <w:rsid w:val="38FD17EE"/>
    <w:rsid w:val="39030A9D"/>
    <w:rsid w:val="39113643"/>
    <w:rsid w:val="392C4597"/>
    <w:rsid w:val="396866FD"/>
    <w:rsid w:val="397E03C2"/>
    <w:rsid w:val="39AF07AB"/>
    <w:rsid w:val="39BB3AC3"/>
    <w:rsid w:val="39DF043A"/>
    <w:rsid w:val="39FE32B3"/>
    <w:rsid w:val="39FF59A7"/>
    <w:rsid w:val="3A06128C"/>
    <w:rsid w:val="3A070DC0"/>
    <w:rsid w:val="3A2065C7"/>
    <w:rsid w:val="3A213653"/>
    <w:rsid w:val="3A34378D"/>
    <w:rsid w:val="3A36160B"/>
    <w:rsid w:val="3A5B5BB7"/>
    <w:rsid w:val="3A6F51D2"/>
    <w:rsid w:val="3AA50AA5"/>
    <w:rsid w:val="3AEB3C21"/>
    <w:rsid w:val="3AEF3713"/>
    <w:rsid w:val="3AFB6043"/>
    <w:rsid w:val="3B041E40"/>
    <w:rsid w:val="3B191C47"/>
    <w:rsid w:val="3B205806"/>
    <w:rsid w:val="3B295FAA"/>
    <w:rsid w:val="3B5C6A72"/>
    <w:rsid w:val="3B7F2CAA"/>
    <w:rsid w:val="3BC9431F"/>
    <w:rsid w:val="3C1A13DF"/>
    <w:rsid w:val="3C3A4FEB"/>
    <w:rsid w:val="3C4F0EBB"/>
    <w:rsid w:val="3C635FA0"/>
    <w:rsid w:val="3C86519C"/>
    <w:rsid w:val="3C8659AE"/>
    <w:rsid w:val="3CA66A58"/>
    <w:rsid w:val="3CBE3C7C"/>
    <w:rsid w:val="3CD165D4"/>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A55E90"/>
    <w:rsid w:val="3EB2553E"/>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8C651A"/>
    <w:rsid w:val="41B370D6"/>
    <w:rsid w:val="42212582"/>
    <w:rsid w:val="42625CA5"/>
    <w:rsid w:val="42755843"/>
    <w:rsid w:val="42794CE2"/>
    <w:rsid w:val="428704C4"/>
    <w:rsid w:val="42C70708"/>
    <w:rsid w:val="42E0254C"/>
    <w:rsid w:val="42F40D67"/>
    <w:rsid w:val="43066FF8"/>
    <w:rsid w:val="43146FF6"/>
    <w:rsid w:val="433204F8"/>
    <w:rsid w:val="433C3AAA"/>
    <w:rsid w:val="4345322A"/>
    <w:rsid w:val="43480F05"/>
    <w:rsid w:val="43580CE8"/>
    <w:rsid w:val="43600192"/>
    <w:rsid w:val="43964A1C"/>
    <w:rsid w:val="439E341B"/>
    <w:rsid w:val="43E22B61"/>
    <w:rsid w:val="44031DB9"/>
    <w:rsid w:val="440700DA"/>
    <w:rsid w:val="44166A5A"/>
    <w:rsid w:val="446E015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2128E4"/>
    <w:rsid w:val="46300B95"/>
    <w:rsid w:val="463A3C1C"/>
    <w:rsid w:val="466E6ADA"/>
    <w:rsid w:val="46911EDD"/>
    <w:rsid w:val="4699240B"/>
    <w:rsid w:val="46B7014A"/>
    <w:rsid w:val="46ED5CA5"/>
    <w:rsid w:val="46FE4C6E"/>
    <w:rsid w:val="47062AB6"/>
    <w:rsid w:val="471A6376"/>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A36AB0"/>
    <w:rsid w:val="49A97E85"/>
    <w:rsid w:val="49D2118A"/>
    <w:rsid w:val="49D92DDD"/>
    <w:rsid w:val="49EF5321"/>
    <w:rsid w:val="49FC381D"/>
    <w:rsid w:val="4A2A4C7A"/>
    <w:rsid w:val="4A347F6C"/>
    <w:rsid w:val="4A444508"/>
    <w:rsid w:val="4A456A14"/>
    <w:rsid w:val="4A66451F"/>
    <w:rsid w:val="4A88728D"/>
    <w:rsid w:val="4A9D0D79"/>
    <w:rsid w:val="4A9D45B8"/>
    <w:rsid w:val="4A9F545E"/>
    <w:rsid w:val="4AAB056F"/>
    <w:rsid w:val="4B08573B"/>
    <w:rsid w:val="4B626F00"/>
    <w:rsid w:val="4BC53B5B"/>
    <w:rsid w:val="4BE53FE4"/>
    <w:rsid w:val="4C340FD6"/>
    <w:rsid w:val="4C4D4AF8"/>
    <w:rsid w:val="4C744BB3"/>
    <w:rsid w:val="4C851F32"/>
    <w:rsid w:val="4C964045"/>
    <w:rsid w:val="4CD70E50"/>
    <w:rsid w:val="4CDB65A8"/>
    <w:rsid w:val="4CE2366D"/>
    <w:rsid w:val="4D010671"/>
    <w:rsid w:val="4D0526DC"/>
    <w:rsid w:val="4D316B33"/>
    <w:rsid w:val="4D352FBB"/>
    <w:rsid w:val="4D596D5B"/>
    <w:rsid w:val="4D743D8A"/>
    <w:rsid w:val="4D9549A9"/>
    <w:rsid w:val="4DA96C4E"/>
    <w:rsid w:val="4DF70A62"/>
    <w:rsid w:val="4E0614E3"/>
    <w:rsid w:val="4E2452B7"/>
    <w:rsid w:val="4E3F2C74"/>
    <w:rsid w:val="4E695109"/>
    <w:rsid w:val="4E992277"/>
    <w:rsid w:val="4E9C3B92"/>
    <w:rsid w:val="4E9D6524"/>
    <w:rsid w:val="4EAD1AF9"/>
    <w:rsid w:val="4EBB043F"/>
    <w:rsid w:val="4EC73C65"/>
    <w:rsid w:val="4EE23C1E"/>
    <w:rsid w:val="4F1913AC"/>
    <w:rsid w:val="4F4F5A65"/>
    <w:rsid w:val="4F6426A9"/>
    <w:rsid w:val="4F7127A7"/>
    <w:rsid w:val="4F792A76"/>
    <w:rsid w:val="4F7A31F5"/>
    <w:rsid w:val="4FB77179"/>
    <w:rsid w:val="4FB92CDA"/>
    <w:rsid w:val="4FE775A6"/>
    <w:rsid w:val="4FF54231"/>
    <w:rsid w:val="50077447"/>
    <w:rsid w:val="50092979"/>
    <w:rsid w:val="502F4C40"/>
    <w:rsid w:val="50343739"/>
    <w:rsid w:val="50623802"/>
    <w:rsid w:val="50652E94"/>
    <w:rsid w:val="508700F4"/>
    <w:rsid w:val="50A970CD"/>
    <w:rsid w:val="50C72D83"/>
    <w:rsid w:val="50EC664D"/>
    <w:rsid w:val="50F25C6E"/>
    <w:rsid w:val="5163596F"/>
    <w:rsid w:val="51642065"/>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F2B4C"/>
    <w:rsid w:val="53144C5A"/>
    <w:rsid w:val="532E36AE"/>
    <w:rsid w:val="534327B1"/>
    <w:rsid w:val="53AE0CB6"/>
    <w:rsid w:val="53D170F4"/>
    <w:rsid w:val="541C5C72"/>
    <w:rsid w:val="543B6BDD"/>
    <w:rsid w:val="544F1C50"/>
    <w:rsid w:val="54606A92"/>
    <w:rsid w:val="54611A81"/>
    <w:rsid w:val="54DC110F"/>
    <w:rsid w:val="55236751"/>
    <w:rsid w:val="557D655D"/>
    <w:rsid w:val="55846FDD"/>
    <w:rsid w:val="558933C3"/>
    <w:rsid w:val="55B177EA"/>
    <w:rsid w:val="55CD48C4"/>
    <w:rsid w:val="55EA33B8"/>
    <w:rsid w:val="55F34392"/>
    <w:rsid w:val="560C425A"/>
    <w:rsid w:val="56116B32"/>
    <w:rsid w:val="562365CA"/>
    <w:rsid w:val="56340430"/>
    <w:rsid w:val="564B6FA5"/>
    <w:rsid w:val="56581D59"/>
    <w:rsid w:val="568502CA"/>
    <w:rsid w:val="56AA23A1"/>
    <w:rsid w:val="56B0773B"/>
    <w:rsid w:val="56C254B7"/>
    <w:rsid w:val="5709588E"/>
    <w:rsid w:val="571760EF"/>
    <w:rsid w:val="571F7ADE"/>
    <w:rsid w:val="57792910"/>
    <w:rsid w:val="5781180D"/>
    <w:rsid w:val="579F0027"/>
    <w:rsid w:val="57C77D46"/>
    <w:rsid w:val="57CF4F1B"/>
    <w:rsid w:val="57D065BB"/>
    <w:rsid w:val="58201757"/>
    <w:rsid w:val="58514364"/>
    <w:rsid w:val="585818C8"/>
    <w:rsid w:val="585D525A"/>
    <w:rsid w:val="58602168"/>
    <w:rsid w:val="5860738B"/>
    <w:rsid w:val="58AB4E89"/>
    <w:rsid w:val="58AD7356"/>
    <w:rsid w:val="58B5550E"/>
    <w:rsid w:val="58BD5C76"/>
    <w:rsid w:val="58C11261"/>
    <w:rsid w:val="58C34E9B"/>
    <w:rsid w:val="58CB74D0"/>
    <w:rsid w:val="58D20175"/>
    <w:rsid w:val="59303772"/>
    <w:rsid w:val="59340E0B"/>
    <w:rsid w:val="59AD7B0E"/>
    <w:rsid w:val="59B31815"/>
    <w:rsid w:val="59D55070"/>
    <w:rsid w:val="59DA18AC"/>
    <w:rsid w:val="59E546A4"/>
    <w:rsid w:val="59FD6E5D"/>
    <w:rsid w:val="5A2F5AF5"/>
    <w:rsid w:val="5A4439EB"/>
    <w:rsid w:val="5A637B38"/>
    <w:rsid w:val="5A8D1386"/>
    <w:rsid w:val="5A93303B"/>
    <w:rsid w:val="5AAB12E9"/>
    <w:rsid w:val="5ABB6C3C"/>
    <w:rsid w:val="5ACD77B4"/>
    <w:rsid w:val="5AFF7905"/>
    <w:rsid w:val="5B1836AE"/>
    <w:rsid w:val="5B492C91"/>
    <w:rsid w:val="5B5E26D5"/>
    <w:rsid w:val="5B6B15AA"/>
    <w:rsid w:val="5B987BF7"/>
    <w:rsid w:val="5BA23173"/>
    <w:rsid w:val="5BAF6495"/>
    <w:rsid w:val="5BDE2F03"/>
    <w:rsid w:val="5BE9290B"/>
    <w:rsid w:val="5BF25754"/>
    <w:rsid w:val="5C1E13B0"/>
    <w:rsid w:val="5C1E7291"/>
    <w:rsid w:val="5C662A50"/>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E381A8A"/>
    <w:rsid w:val="5E3A6AA2"/>
    <w:rsid w:val="5E3E4C2D"/>
    <w:rsid w:val="5E5867E1"/>
    <w:rsid w:val="5E674F7E"/>
    <w:rsid w:val="5E874CE8"/>
    <w:rsid w:val="5E9224E3"/>
    <w:rsid w:val="5EB00E5C"/>
    <w:rsid w:val="5ECC354A"/>
    <w:rsid w:val="5ED35331"/>
    <w:rsid w:val="5EE37831"/>
    <w:rsid w:val="5EEB7859"/>
    <w:rsid w:val="5F0211D3"/>
    <w:rsid w:val="5F0A3D5F"/>
    <w:rsid w:val="5F213F68"/>
    <w:rsid w:val="5F2F6349"/>
    <w:rsid w:val="5F600D4E"/>
    <w:rsid w:val="5F7425E5"/>
    <w:rsid w:val="5F8E3078"/>
    <w:rsid w:val="5F956DDF"/>
    <w:rsid w:val="5F991667"/>
    <w:rsid w:val="5FA416F1"/>
    <w:rsid w:val="5FD93954"/>
    <w:rsid w:val="5FDC55D3"/>
    <w:rsid w:val="5FF469EE"/>
    <w:rsid w:val="5FFB0094"/>
    <w:rsid w:val="60160416"/>
    <w:rsid w:val="60160C5E"/>
    <w:rsid w:val="60305CC7"/>
    <w:rsid w:val="604A1238"/>
    <w:rsid w:val="608D5B2E"/>
    <w:rsid w:val="60A62DBA"/>
    <w:rsid w:val="60BE77C1"/>
    <w:rsid w:val="60C03CCF"/>
    <w:rsid w:val="60D42D03"/>
    <w:rsid w:val="60E62C9D"/>
    <w:rsid w:val="611B62E0"/>
    <w:rsid w:val="615E501E"/>
    <w:rsid w:val="6180773A"/>
    <w:rsid w:val="61A06374"/>
    <w:rsid w:val="622470A5"/>
    <w:rsid w:val="62247F4C"/>
    <w:rsid w:val="622D2FAA"/>
    <w:rsid w:val="625D25EA"/>
    <w:rsid w:val="62857C4E"/>
    <w:rsid w:val="6286607D"/>
    <w:rsid w:val="62A62781"/>
    <w:rsid w:val="62B334AF"/>
    <w:rsid w:val="62E05FC6"/>
    <w:rsid w:val="62FD3864"/>
    <w:rsid w:val="63464F7D"/>
    <w:rsid w:val="634B0772"/>
    <w:rsid w:val="636E7A2E"/>
    <w:rsid w:val="63815A2A"/>
    <w:rsid w:val="63BF7E8E"/>
    <w:rsid w:val="63C01CBD"/>
    <w:rsid w:val="63CB0F7F"/>
    <w:rsid w:val="63FC4F9D"/>
    <w:rsid w:val="64217A61"/>
    <w:rsid w:val="643F3D04"/>
    <w:rsid w:val="644204E6"/>
    <w:rsid w:val="64635DFB"/>
    <w:rsid w:val="64683A23"/>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2385"/>
    <w:rsid w:val="66DB09CF"/>
    <w:rsid w:val="66E96680"/>
    <w:rsid w:val="67237A0F"/>
    <w:rsid w:val="67487CFE"/>
    <w:rsid w:val="67695728"/>
    <w:rsid w:val="677038E2"/>
    <w:rsid w:val="677777A9"/>
    <w:rsid w:val="67B43783"/>
    <w:rsid w:val="67B92A72"/>
    <w:rsid w:val="67D547C2"/>
    <w:rsid w:val="67FA0E09"/>
    <w:rsid w:val="680147C8"/>
    <w:rsid w:val="68075EA1"/>
    <w:rsid w:val="68233F9E"/>
    <w:rsid w:val="68277A88"/>
    <w:rsid w:val="686831F8"/>
    <w:rsid w:val="6889198F"/>
    <w:rsid w:val="689340A3"/>
    <w:rsid w:val="68A12E72"/>
    <w:rsid w:val="68DC73EC"/>
    <w:rsid w:val="69054B5C"/>
    <w:rsid w:val="69293200"/>
    <w:rsid w:val="694347AF"/>
    <w:rsid w:val="694F06EB"/>
    <w:rsid w:val="6963607F"/>
    <w:rsid w:val="696403F8"/>
    <w:rsid w:val="69766916"/>
    <w:rsid w:val="698D63CB"/>
    <w:rsid w:val="698F77F4"/>
    <w:rsid w:val="69A20335"/>
    <w:rsid w:val="69B23B9D"/>
    <w:rsid w:val="69BD4C13"/>
    <w:rsid w:val="69E82867"/>
    <w:rsid w:val="6A086F70"/>
    <w:rsid w:val="6A540655"/>
    <w:rsid w:val="6A5B510D"/>
    <w:rsid w:val="6A8D4C80"/>
    <w:rsid w:val="6AA159CB"/>
    <w:rsid w:val="6AA26939"/>
    <w:rsid w:val="6ACB1DCC"/>
    <w:rsid w:val="6AD50437"/>
    <w:rsid w:val="6AE4041A"/>
    <w:rsid w:val="6AEE57CB"/>
    <w:rsid w:val="6AFB18B7"/>
    <w:rsid w:val="6B3030A0"/>
    <w:rsid w:val="6B417EB3"/>
    <w:rsid w:val="6B707214"/>
    <w:rsid w:val="6B9C69D2"/>
    <w:rsid w:val="6BB104FC"/>
    <w:rsid w:val="6BC75657"/>
    <w:rsid w:val="6BD126F0"/>
    <w:rsid w:val="6BE1773A"/>
    <w:rsid w:val="6BE35659"/>
    <w:rsid w:val="6C2B66F7"/>
    <w:rsid w:val="6C56491E"/>
    <w:rsid w:val="6C5B64F3"/>
    <w:rsid w:val="6CB84F3A"/>
    <w:rsid w:val="6D05726A"/>
    <w:rsid w:val="6D526817"/>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F00046B"/>
    <w:rsid w:val="6F065AB6"/>
    <w:rsid w:val="6F3364F9"/>
    <w:rsid w:val="6F441647"/>
    <w:rsid w:val="6F4D0F66"/>
    <w:rsid w:val="6F505503"/>
    <w:rsid w:val="6F57424B"/>
    <w:rsid w:val="6F612830"/>
    <w:rsid w:val="6F9E5543"/>
    <w:rsid w:val="6FD10B10"/>
    <w:rsid w:val="6FDB3D7F"/>
    <w:rsid w:val="6FE61F22"/>
    <w:rsid w:val="6FFD00DA"/>
    <w:rsid w:val="70352925"/>
    <w:rsid w:val="70505871"/>
    <w:rsid w:val="7059136B"/>
    <w:rsid w:val="7067165B"/>
    <w:rsid w:val="706B4405"/>
    <w:rsid w:val="70801B07"/>
    <w:rsid w:val="709A7A5C"/>
    <w:rsid w:val="70A1406F"/>
    <w:rsid w:val="70B0465E"/>
    <w:rsid w:val="70FE623D"/>
    <w:rsid w:val="715B3C2A"/>
    <w:rsid w:val="717A163C"/>
    <w:rsid w:val="71803C89"/>
    <w:rsid w:val="718D6ECB"/>
    <w:rsid w:val="71994E64"/>
    <w:rsid w:val="71CA7676"/>
    <w:rsid w:val="71E05943"/>
    <w:rsid w:val="71E616D5"/>
    <w:rsid w:val="71EA7695"/>
    <w:rsid w:val="71EE7FB9"/>
    <w:rsid w:val="72263DC5"/>
    <w:rsid w:val="72536FDC"/>
    <w:rsid w:val="726054D6"/>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3C5C12"/>
    <w:rsid w:val="74412921"/>
    <w:rsid w:val="7475710D"/>
    <w:rsid w:val="747621BD"/>
    <w:rsid w:val="75086A21"/>
    <w:rsid w:val="750B356A"/>
    <w:rsid w:val="750C4DDC"/>
    <w:rsid w:val="7510569F"/>
    <w:rsid w:val="756950CA"/>
    <w:rsid w:val="75922EAF"/>
    <w:rsid w:val="75AD28A1"/>
    <w:rsid w:val="75C224B9"/>
    <w:rsid w:val="76013E56"/>
    <w:rsid w:val="760A7D9D"/>
    <w:rsid w:val="76335855"/>
    <w:rsid w:val="763E51CC"/>
    <w:rsid w:val="76465F91"/>
    <w:rsid w:val="766026E6"/>
    <w:rsid w:val="76B770A6"/>
    <w:rsid w:val="76CE7275"/>
    <w:rsid w:val="76E4362B"/>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A408FA"/>
    <w:rsid w:val="7AC34D04"/>
    <w:rsid w:val="7B123707"/>
    <w:rsid w:val="7B236D19"/>
    <w:rsid w:val="7B307625"/>
    <w:rsid w:val="7B347CEC"/>
    <w:rsid w:val="7B576B4E"/>
    <w:rsid w:val="7B761608"/>
    <w:rsid w:val="7B87133C"/>
    <w:rsid w:val="7BBF721F"/>
    <w:rsid w:val="7C105077"/>
    <w:rsid w:val="7C416F95"/>
    <w:rsid w:val="7C4E5B9F"/>
    <w:rsid w:val="7C580760"/>
    <w:rsid w:val="7C8B3404"/>
    <w:rsid w:val="7C8D6ADA"/>
    <w:rsid w:val="7C9C47E0"/>
    <w:rsid w:val="7C9E070C"/>
    <w:rsid w:val="7CBB152F"/>
    <w:rsid w:val="7CF64F02"/>
    <w:rsid w:val="7D030EE0"/>
    <w:rsid w:val="7D2C343C"/>
    <w:rsid w:val="7D4C3183"/>
    <w:rsid w:val="7D9314F6"/>
    <w:rsid w:val="7D9C06C0"/>
    <w:rsid w:val="7DAB4741"/>
    <w:rsid w:val="7DBE5AB2"/>
    <w:rsid w:val="7DDB441F"/>
    <w:rsid w:val="7E4B1AB3"/>
    <w:rsid w:val="7E58216F"/>
    <w:rsid w:val="7E58478A"/>
    <w:rsid w:val="7E70415D"/>
    <w:rsid w:val="7E7F1745"/>
    <w:rsid w:val="7E886BD8"/>
    <w:rsid w:val="7E922F1E"/>
    <w:rsid w:val="7E9C1A45"/>
    <w:rsid w:val="7EEF7176"/>
    <w:rsid w:val="7F356E88"/>
    <w:rsid w:val="7F5D7752"/>
    <w:rsid w:val="7F7A668F"/>
    <w:rsid w:val="7F7C1BAA"/>
    <w:rsid w:val="7F91228D"/>
    <w:rsid w:val="7F980D98"/>
    <w:rsid w:val="7FAF30F2"/>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7.png"/><Relationship Id="rId15" Type="http://schemas.openxmlformats.org/officeDocument/2006/relationships/image" Target="media/image6.emf"/><Relationship Id="rId14" Type="http://schemas.openxmlformats.org/officeDocument/2006/relationships/oleObject" Target="embeddings/oleObject5.bin"/><Relationship Id="rId13" Type="http://schemas.openxmlformats.org/officeDocument/2006/relationships/image" Target="media/image5.emf"/><Relationship Id="rId12" Type="http://schemas.openxmlformats.org/officeDocument/2006/relationships/oleObject" Target="embeddings/oleObject4.bin"/><Relationship Id="rId11" Type="http://schemas.openxmlformats.org/officeDocument/2006/relationships/image" Target="media/image4.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1039</Words>
  <Characters>5923</Characters>
  <Lines>49</Lines>
  <Paragraphs>13</Paragraphs>
  <TotalTime>1</TotalTime>
  <ScaleCrop>false</ScaleCrop>
  <LinksUpToDate>false</LinksUpToDate>
  <CharactersWithSpaces>6949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谭佳瑶</cp:lastModifiedBy>
  <dcterms:modified xsi:type="dcterms:W3CDTF">2024-04-05T03:29:13Z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CA32C2FC85DD4508A915E6B41A306FE9_13</vt:lpwstr>
  </property>
</Properties>
</file>